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67428144"/>
    <w:p w14:paraId="4603175B" w14:textId="4692107B" w:rsidR="00583D52" w:rsidRPr="00B251B1" w:rsidRDefault="00583D52" w:rsidP="00631F63">
      <w:pPr>
        <w:spacing w:before="67"/>
        <w:jc w:val="center"/>
        <w:rPr>
          <w:sz w:val="13"/>
        </w:rPr>
      </w:pPr>
      <w:r w:rsidRPr="00B251B1">
        <w:rPr>
          <w:noProof/>
        </w:rPr>
        <mc:AlternateContent>
          <mc:Choice Requires="wps">
            <w:drawing>
              <wp:anchor distT="0" distB="0" distL="0" distR="0" simplePos="0" relativeHeight="251659264" behindDoc="1" locked="0" layoutInCell="1" allowOverlap="1" wp14:anchorId="695B23AD" wp14:editId="69D2BBC2">
                <wp:simplePos x="0" y="0"/>
                <wp:positionH relativeFrom="page">
                  <wp:posOffset>541020</wp:posOffset>
                </wp:positionH>
                <wp:positionV relativeFrom="paragraph">
                  <wp:posOffset>220345</wp:posOffset>
                </wp:positionV>
                <wp:extent cx="6306185" cy="6350"/>
                <wp:effectExtent l="0" t="4445" r="1270" b="0"/>
                <wp:wrapTopAndBottom/>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06185"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525CA39" id="Rectangle 6" o:spid="_x0000_s1026" style="position:absolute;margin-left:42.6pt;margin-top:17.35pt;width:496.55pt;height:.5pt;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" fillcolor="black" stroked="f">
                <w10:wrap type="topAndBottom" anchorx="page"/>
              </v:rect>
            </w:pict>
          </mc:Fallback>
        </mc:AlternateContent>
      </w:r>
      <w:r w:rsidRPr="00B251B1">
        <w:rPr>
          <w:color w:val="808080"/>
          <w:sz w:val="13"/>
        </w:rPr>
        <w:t>J</w:t>
      </w:r>
      <w:r w:rsidR="001D42D1" w:rsidRPr="00B251B1">
        <w:rPr>
          <w:color w:val="808080"/>
          <w:sz w:val="13"/>
        </w:rPr>
        <w:t>ournal</w:t>
      </w:r>
      <w:r w:rsidRPr="00B251B1">
        <w:rPr>
          <w:color w:val="808080"/>
          <w:sz w:val="10"/>
        </w:rPr>
        <w:t xml:space="preserve"> </w:t>
      </w:r>
      <w:r w:rsidRPr="00B251B1">
        <w:rPr>
          <w:color w:val="808080"/>
          <w:sz w:val="13"/>
        </w:rPr>
        <w:t>of Engineering Science and Technology Management- V</w:t>
      </w:r>
      <w:r w:rsidRPr="00B251B1">
        <w:rPr>
          <w:color w:val="808080"/>
          <w:sz w:val="10"/>
        </w:rPr>
        <w:t>OL</w:t>
      </w:r>
      <w:r w:rsidRPr="00B251B1">
        <w:rPr>
          <w:color w:val="808080"/>
          <w:sz w:val="13"/>
        </w:rPr>
        <w:t>.</w:t>
      </w:r>
      <w:r w:rsidR="004F40F5">
        <w:rPr>
          <w:color w:val="808080"/>
          <w:sz w:val="13"/>
        </w:rPr>
        <w:t>6</w:t>
      </w:r>
      <w:r w:rsidRPr="00B251B1">
        <w:rPr>
          <w:color w:val="808080"/>
          <w:sz w:val="13"/>
        </w:rPr>
        <w:t xml:space="preserve"> N</w:t>
      </w:r>
      <w:r w:rsidRPr="00B251B1">
        <w:rPr>
          <w:color w:val="808080"/>
          <w:sz w:val="10"/>
        </w:rPr>
        <w:t>O</w:t>
      </w:r>
      <w:r w:rsidRPr="00B251B1">
        <w:rPr>
          <w:color w:val="808080"/>
          <w:sz w:val="13"/>
        </w:rPr>
        <w:t xml:space="preserve">. </w:t>
      </w:r>
      <w:r w:rsidR="004F40F5">
        <w:rPr>
          <w:color w:val="808080"/>
          <w:sz w:val="13"/>
        </w:rPr>
        <w:t>2</w:t>
      </w:r>
      <w:r w:rsidRPr="00B251B1">
        <w:rPr>
          <w:color w:val="808080"/>
          <w:sz w:val="13"/>
        </w:rPr>
        <w:t xml:space="preserve"> (20</w:t>
      </w:r>
      <w:r w:rsidR="004F40F5">
        <w:rPr>
          <w:color w:val="808080"/>
          <w:sz w:val="13"/>
        </w:rPr>
        <w:t>26</w:t>
      </w:r>
      <w:r w:rsidRPr="00B251B1">
        <w:rPr>
          <w:color w:val="808080"/>
          <w:sz w:val="13"/>
        </w:rPr>
        <w:t xml:space="preserve">) </w:t>
      </w:r>
      <w:r w:rsidR="001D42D1" w:rsidRPr="00B251B1">
        <w:rPr>
          <w:color w:val="808080"/>
          <w:sz w:val="13"/>
        </w:rPr>
        <w:t>2828 -7886</w:t>
      </w:r>
    </w:p>
    <w:p w14:paraId="7FA3DB57" w14:textId="77777777" w:rsidR="00583D52" w:rsidRPr="00B251B1" w:rsidRDefault="00583D52" w:rsidP="00583D52">
      <w:pPr>
        <w:pStyle w:val="BodyText"/>
        <w:spacing w:before="9"/>
        <w:rPr>
          <w:sz w:val="6"/>
        </w:rPr>
      </w:pPr>
    </w:p>
    <w:p w14:paraId="4C229E47" w14:textId="6756CA83" w:rsidR="00583D52" w:rsidRPr="00B251B1" w:rsidRDefault="001D42D1" w:rsidP="00583D52">
      <w:pPr>
        <w:pStyle w:val="BodyText"/>
        <w:spacing w:before="9"/>
        <w:rPr>
          <w:sz w:val="5"/>
        </w:rPr>
      </w:pPr>
      <w:r w:rsidRPr="00B251B1">
        <w:rPr>
          <w:noProof/>
        </w:rPr>
        <mc:AlternateContent>
          <mc:Choice Requires="wps">
            <w:drawing>
              <wp:anchor distT="0" distB="0" distL="0" distR="0" simplePos="0" relativeHeight="251660288" behindDoc="1" locked="0" layoutInCell="1" allowOverlap="1" wp14:anchorId="5A23024B" wp14:editId="7138E67D">
                <wp:simplePos x="0" y="0"/>
                <wp:positionH relativeFrom="page">
                  <wp:posOffset>786765</wp:posOffset>
                </wp:positionH>
                <wp:positionV relativeFrom="paragraph">
                  <wp:posOffset>110490</wp:posOffset>
                </wp:positionV>
                <wp:extent cx="4429125" cy="951230"/>
                <wp:effectExtent l="0" t="0" r="9525" b="12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9125" cy="951230"/>
                        </a:xfrm>
                        <a:prstGeom prst="rect">
                          <a:avLst/>
                        </a:prstGeom>
                        <a:solidFill>
                          <a:srgbClr val="DEEAF6"/>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CACA64" w14:textId="512ED5B8" w:rsidR="00583D52" w:rsidRDefault="00583D52" w:rsidP="00583D52">
                            <w:pPr>
                              <w:spacing w:before="116"/>
                              <w:ind w:left="1215" w:right="1214"/>
                              <w:jc w:val="center"/>
                              <w:rPr>
                                <w:sz w:val="13"/>
                              </w:rPr>
                            </w:pPr>
                            <w:proofErr w:type="spellStart"/>
                            <w:r>
                              <w:rPr>
                                <w:sz w:val="13"/>
                              </w:rPr>
                              <w:t>Terbit</w:t>
                            </w:r>
                            <w:proofErr w:type="spellEnd"/>
                            <w:r>
                              <w:rPr>
                                <w:sz w:val="13"/>
                              </w:rPr>
                              <w:t xml:space="preserve"> </w:t>
                            </w:r>
                            <w:r>
                              <w:rPr>
                                <w:i/>
                                <w:sz w:val="13"/>
                              </w:rPr>
                              <w:t xml:space="preserve">online </w:t>
                            </w:r>
                            <w:r>
                              <w:rPr>
                                <w:sz w:val="13"/>
                              </w:rPr>
                              <w:t xml:space="preserve">pada </w:t>
                            </w:r>
                            <w:proofErr w:type="spellStart"/>
                            <w:r>
                              <w:rPr>
                                <w:sz w:val="13"/>
                              </w:rPr>
                              <w:t>laman</w:t>
                            </w:r>
                            <w:proofErr w:type="spellEnd"/>
                            <w:r>
                              <w:rPr>
                                <w:sz w:val="13"/>
                              </w:rPr>
                              <w:t xml:space="preserve"> web </w:t>
                            </w:r>
                            <w:proofErr w:type="spellStart"/>
                            <w:proofErr w:type="gramStart"/>
                            <w:r>
                              <w:rPr>
                                <w:sz w:val="13"/>
                              </w:rPr>
                              <w:t>jurnal</w:t>
                            </w:r>
                            <w:proofErr w:type="spellEnd"/>
                            <w:r>
                              <w:rPr>
                                <w:sz w:val="13"/>
                              </w:rPr>
                              <w:t xml:space="preserve"> :</w:t>
                            </w:r>
                            <w:proofErr w:type="gramEnd"/>
                            <w:r w:rsidR="001D42D1" w:rsidRPr="001D42D1">
                              <w:t xml:space="preserve"> </w:t>
                            </w:r>
                            <w:hyperlink r:id="rId8" w:history="1">
                              <w:r w:rsidR="001D42D1" w:rsidRPr="00122C34">
                                <w:rPr>
                                  <w:rStyle w:val="Hyperlink"/>
                                  <w:sz w:val="13"/>
                                </w:rPr>
                                <w:t>https://jes-tm.org/index.php/jestm/index</w:t>
                              </w:r>
                            </w:hyperlink>
                            <w:r w:rsidR="001D42D1">
                              <w:rPr>
                                <w:sz w:val="13"/>
                              </w:rPr>
                              <w:t xml:space="preserve"> </w:t>
                            </w:r>
                          </w:p>
                          <w:p w14:paraId="4FC3121A" w14:textId="77777777" w:rsidR="00583D52" w:rsidRDefault="00583D52" w:rsidP="00583D52">
                            <w:pPr>
                              <w:pStyle w:val="BodyText"/>
                              <w:spacing w:before="8"/>
                              <w:rPr>
                                <w:sz w:val="12"/>
                              </w:rPr>
                            </w:pPr>
                          </w:p>
                          <w:p w14:paraId="099A5CFE" w14:textId="77777777" w:rsidR="00583D52" w:rsidRPr="00D60BBB" w:rsidRDefault="00583D52" w:rsidP="00583D52">
                            <w:pPr>
                              <w:ind w:left="284" w:right="379"/>
                              <w:jc w:val="center"/>
                              <w:rPr>
                                <w:b/>
                                <w:sz w:val="24"/>
                                <w:szCs w:val="18"/>
                              </w:rPr>
                            </w:pPr>
                            <w:r w:rsidRPr="001D39CB">
                              <w:rPr>
                                <w:b/>
                                <w:sz w:val="28"/>
                                <w:szCs w:val="20"/>
                              </w:rPr>
                              <w:t>Journal of Engineering Science and Technology Management</w:t>
                            </w:r>
                          </w:p>
                          <w:p w14:paraId="01EE452F" w14:textId="2A506B54" w:rsidR="00583D52" w:rsidRDefault="00583D52" w:rsidP="00583D52">
                            <w:pPr>
                              <w:spacing w:before="172"/>
                              <w:ind w:left="1215" w:right="1211"/>
                              <w:jc w:val="center"/>
                              <w:rPr>
                                <w:sz w:val="13"/>
                              </w:rPr>
                            </w:pPr>
                            <w:r>
                              <w:rPr>
                                <w:sz w:val="13"/>
                              </w:rPr>
                              <w:t>| ISSN (Online)</w:t>
                            </w:r>
                            <w:r w:rsidR="001D42D1">
                              <w:rPr>
                                <w:sz w:val="13"/>
                              </w:rPr>
                              <w:t xml:space="preserve"> 2828 -7886</w:t>
                            </w:r>
                            <w:r>
                              <w:rPr>
                                <w:sz w:val="13"/>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A23024B" id="_x0000_t202" coordsize="21600,21600" o:spt="202" path="m,l,21600r21600,l21600,xe">
                <v:stroke joinstyle="miter"/>
                <v:path gradientshapeok="t" o:connecttype="rect"/>
              </v:shapetype>
              <v:shape id="Text Box 4" o:spid="_x0000_s1026" type="#_x0000_t202" style="position:absolute;margin-left:61.95pt;margin-top:8.7pt;width:348.75pt;height:74.9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" fillcolor="#deeaf6" stroked="f">
                <v:textbox inset="0,0,0,0">
                  <w:txbxContent>
                    <w:p w14:paraId="05CACA64" w14:textId="512ED5B8" w:rsidR="00583D52" w:rsidRDefault="00583D52" w:rsidP="00583D52">
                      <w:pPr>
                        <w:spacing w:before="116"/>
                        <w:ind w:left="1215" w:right="1214"/>
                        <w:jc w:val="center"/>
                        <w:rPr>
                          <w:sz w:val="13"/>
                        </w:rPr>
                      </w:pPr>
                      <w:proofErr w:type="spellStart"/>
                      <w:r>
                        <w:rPr>
                          <w:sz w:val="13"/>
                        </w:rPr>
                        <w:t>Terbit</w:t>
                      </w:r>
                      <w:proofErr w:type="spellEnd"/>
                      <w:r>
                        <w:rPr>
                          <w:sz w:val="13"/>
                        </w:rPr>
                        <w:t xml:space="preserve"> </w:t>
                      </w:r>
                      <w:r>
                        <w:rPr>
                          <w:i/>
                          <w:sz w:val="13"/>
                        </w:rPr>
                        <w:t xml:space="preserve">online </w:t>
                      </w:r>
                      <w:r>
                        <w:rPr>
                          <w:sz w:val="13"/>
                        </w:rPr>
                        <w:t xml:space="preserve">pada </w:t>
                      </w:r>
                      <w:proofErr w:type="spellStart"/>
                      <w:r>
                        <w:rPr>
                          <w:sz w:val="13"/>
                        </w:rPr>
                        <w:t>laman</w:t>
                      </w:r>
                      <w:proofErr w:type="spellEnd"/>
                      <w:r>
                        <w:rPr>
                          <w:sz w:val="13"/>
                        </w:rPr>
                        <w:t xml:space="preserve"> web </w:t>
                      </w:r>
                      <w:proofErr w:type="spellStart"/>
                      <w:proofErr w:type="gramStart"/>
                      <w:r>
                        <w:rPr>
                          <w:sz w:val="13"/>
                        </w:rPr>
                        <w:t>jurnal</w:t>
                      </w:r>
                      <w:proofErr w:type="spellEnd"/>
                      <w:r>
                        <w:rPr>
                          <w:sz w:val="13"/>
                        </w:rPr>
                        <w:t xml:space="preserve"> :</w:t>
                      </w:r>
                      <w:proofErr w:type="gramEnd"/>
                      <w:r w:rsidR="001D42D1" w:rsidRPr="001D42D1">
                        <w:t xml:space="preserve"> </w:t>
                      </w:r>
                      <w:hyperlink r:id="rId9" w:history="1">
                        <w:r w:rsidR="001D42D1" w:rsidRPr="00122C34">
                          <w:rPr>
                            <w:rStyle w:val="Hyperlink"/>
                            <w:sz w:val="13"/>
                          </w:rPr>
                          <w:t>https://jes-tm.org/index.php/jestm/index</w:t>
                        </w:r>
                      </w:hyperlink>
                      <w:r w:rsidR="001D42D1">
                        <w:rPr>
                          <w:sz w:val="13"/>
                        </w:rPr>
                        <w:t xml:space="preserve"> </w:t>
                      </w:r>
                    </w:p>
                    <w:p w14:paraId="4FC3121A" w14:textId="77777777" w:rsidR="00583D52" w:rsidRDefault="00583D52" w:rsidP="00583D52">
                      <w:pPr>
                        <w:pStyle w:val="BodyText"/>
                        <w:spacing w:before="8"/>
                        <w:rPr>
                          <w:sz w:val="12"/>
                        </w:rPr>
                      </w:pPr>
                    </w:p>
                    <w:p w14:paraId="099A5CFE" w14:textId="77777777" w:rsidR="00583D52" w:rsidRPr="00D60BBB" w:rsidRDefault="00583D52" w:rsidP="00583D52">
                      <w:pPr>
                        <w:ind w:left="284" w:right="379"/>
                        <w:jc w:val="center"/>
                        <w:rPr>
                          <w:b/>
                          <w:sz w:val="24"/>
                          <w:szCs w:val="18"/>
                        </w:rPr>
                      </w:pPr>
                      <w:r w:rsidRPr="001D39CB">
                        <w:rPr>
                          <w:b/>
                          <w:sz w:val="28"/>
                          <w:szCs w:val="20"/>
                        </w:rPr>
                        <w:t>Journal of Engineering Science and Technology Management</w:t>
                      </w:r>
                    </w:p>
                    <w:p w14:paraId="01EE452F" w14:textId="2A506B54" w:rsidR="00583D52" w:rsidRDefault="00583D52" w:rsidP="00583D52">
                      <w:pPr>
                        <w:spacing w:before="172"/>
                        <w:ind w:left="1215" w:right="1211"/>
                        <w:jc w:val="center"/>
                        <w:rPr>
                          <w:sz w:val="13"/>
                        </w:rPr>
                      </w:pPr>
                      <w:r>
                        <w:rPr>
                          <w:sz w:val="13"/>
                        </w:rPr>
                        <w:t>| ISSN (Online)</w:t>
                      </w:r>
                      <w:r w:rsidR="001D42D1">
                        <w:rPr>
                          <w:sz w:val="13"/>
                        </w:rPr>
                        <w:t xml:space="preserve"> 2828 -7886</w:t>
                      </w:r>
                      <w:r>
                        <w:rPr>
                          <w:sz w:val="13"/>
                        </w:rPr>
                        <w:t xml:space="preserve"> |</w:t>
                      </w:r>
                    </w:p>
                  </w:txbxContent>
                </v:textbox>
                <w10:wrap type="topAndBottom" anchorx="page"/>
              </v:shape>
            </w:pict>
          </mc:Fallback>
        </mc:AlternateContent>
      </w:r>
      <w:r w:rsidR="006C4669" w:rsidRPr="00B251B1">
        <w:rPr>
          <w:noProof/>
        </w:rPr>
        <w:drawing>
          <wp:anchor distT="0" distB="0" distL="114300" distR="114300" simplePos="0" relativeHeight="251664384" behindDoc="0" locked="0" layoutInCell="1" allowOverlap="1" wp14:anchorId="59275080" wp14:editId="4EE6863E">
            <wp:simplePos x="0" y="0"/>
            <wp:positionH relativeFrom="margin">
              <wp:posOffset>4607230</wp:posOffset>
            </wp:positionH>
            <wp:positionV relativeFrom="paragraph">
              <wp:posOffset>78872</wp:posOffset>
            </wp:positionV>
            <wp:extent cx="1436370" cy="904460"/>
            <wp:effectExtent l="19050" t="19050" r="11430" b="1016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11704" t="23613" r="9908" b="25213"/>
                    <a:stretch/>
                  </pic:blipFill>
                  <pic:spPr bwMode="auto">
                    <a:xfrm>
                      <a:off x="0" y="0"/>
                      <a:ext cx="1439166" cy="906220"/>
                    </a:xfrm>
                    <a:prstGeom prst="rect">
                      <a:avLst/>
                    </a:prstGeom>
                    <a:noFill/>
                    <a:ln w="9525">
                      <a:solidFill>
                        <a:schemeClr val="tx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1EE56E" w14:textId="2733E05A" w:rsidR="00583D52" w:rsidRPr="00B251B1" w:rsidRDefault="00583D52" w:rsidP="00583D52">
      <w:pPr>
        <w:pStyle w:val="BodyText"/>
        <w:spacing w:line="60" w:lineRule="exact"/>
        <w:ind w:left="197"/>
        <w:rPr>
          <w:sz w:val="6"/>
        </w:rPr>
      </w:pPr>
    </w:p>
    <w:p w14:paraId="27548C6C" w14:textId="15073740" w:rsidR="00583D52" w:rsidRPr="00B251B1" w:rsidRDefault="00583D52" w:rsidP="00583D52">
      <w:pPr>
        <w:pStyle w:val="BodyText"/>
        <w:spacing w:before="7"/>
        <w:rPr>
          <w:sz w:val="20"/>
        </w:rPr>
      </w:pPr>
      <w:r w:rsidRPr="00B251B1">
        <w:rPr>
          <w:noProof/>
          <w:sz w:val="6"/>
        </w:rPr>
        <mc:AlternateContent>
          <mc:Choice Requires="wpg">
            <w:drawing>
              <wp:inline distT="0" distB="0" distL="0" distR="0" wp14:anchorId="0C1BEF82" wp14:editId="3E8FDD89">
                <wp:extent cx="6133465" cy="45719"/>
                <wp:effectExtent l="0" t="0" r="635" b="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V="1">
                          <a:off x="0" y="0"/>
                          <a:ext cx="6133465" cy="45719"/>
                          <a:chOff x="0" y="0"/>
                          <a:chExt cx="9946" cy="60"/>
                        </a:xfrm>
                      </wpg:grpSpPr>
                      <wps:wsp>
                        <wps:cNvPr id="3" name="Rectangle 3"/>
                        <wps:cNvSpPr>
                          <a:spLocks noChangeArrowheads="1"/>
                        </wps:cNvSpPr>
                        <wps:spPr bwMode="auto">
                          <a:xfrm>
                            <a:off x="0" y="0"/>
                            <a:ext cx="9946" cy="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3D434939" id="Group 2" o:spid="_x0000_s1026" style="width:482.95pt;height:3.6pt;flip:y;mso-position-horizontal-relative:char;mso-position-vertical-relative:line" coordsize="994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">
                <v:rect id="Rectangle 3" o:spid="_x0000_s1027" style="position:absolute;width:9946;height: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719BCE71" w14:textId="77777777" w:rsidR="00583D52" w:rsidRPr="00B251B1" w:rsidRDefault="00583D52" w:rsidP="00583D52">
      <w:pPr>
        <w:ind w:left="212"/>
        <w:rPr>
          <w:sz w:val="16"/>
        </w:rPr>
      </w:pPr>
      <w:r w:rsidRPr="00B251B1">
        <w:rPr>
          <w:color w:val="7E7E7E"/>
          <w:sz w:val="16"/>
        </w:rPr>
        <w:t>Article</w:t>
      </w:r>
    </w:p>
    <w:p w14:paraId="014BC2A2" w14:textId="2EE5FDC3" w:rsidR="00583D52" w:rsidRPr="00B251B1" w:rsidRDefault="00AD3BF3" w:rsidP="00AD3BF3">
      <w:pPr>
        <w:spacing w:before="142" w:line="276" w:lineRule="auto"/>
        <w:ind w:left="212" w:right="144"/>
        <w:jc w:val="both"/>
        <w:rPr>
          <w:b/>
          <w:bCs/>
          <w:sz w:val="44"/>
          <w:szCs w:val="32"/>
        </w:rPr>
      </w:pPr>
      <w:r w:rsidRPr="00AD3BF3">
        <w:rPr>
          <w:b/>
          <w:bCs/>
          <w:sz w:val="32"/>
          <w:szCs w:val="32"/>
        </w:rPr>
        <w:t xml:space="preserve">Implementation of the Occupational Safety and Health Management System to the Daily Activities of Employees and Visitor Reception at PT </w:t>
      </w:r>
      <w:r w:rsidR="00B114E6">
        <w:rPr>
          <w:b/>
          <w:bCs/>
          <w:sz w:val="32"/>
          <w:szCs w:val="32"/>
        </w:rPr>
        <w:t>X</w:t>
      </w:r>
    </w:p>
    <w:p w14:paraId="527684D0" w14:textId="4524770B" w:rsidR="00583D52" w:rsidRPr="00A63496" w:rsidRDefault="00AD3BF3" w:rsidP="001D42D1">
      <w:pPr>
        <w:pStyle w:val="Heading1"/>
        <w:spacing w:line="240" w:lineRule="auto"/>
        <w:ind w:left="284" w:firstLine="0"/>
        <w:rPr>
          <w:b w:val="0"/>
          <w:vertAlign w:val="superscript"/>
        </w:rPr>
      </w:pPr>
      <w:r>
        <w:t>Muh. Rifqi Aditya Harliman</w:t>
      </w:r>
      <w:r w:rsidR="00583D52" w:rsidRPr="00B251B1">
        <w:rPr>
          <w:b w:val="0"/>
          <w:vertAlign w:val="superscript"/>
        </w:rPr>
        <w:t>1</w:t>
      </w:r>
      <w:r w:rsidR="00583D52" w:rsidRPr="00B251B1">
        <w:t xml:space="preserve">, </w:t>
      </w:r>
      <w:proofErr w:type="spellStart"/>
      <w:r>
        <w:t>Bugi</w:t>
      </w:r>
      <w:proofErr w:type="spellEnd"/>
      <w:r>
        <w:t xml:space="preserve"> Nugraha</w:t>
      </w:r>
      <w:r w:rsidR="00583D52" w:rsidRPr="00B251B1">
        <w:rPr>
          <w:b w:val="0"/>
          <w:vertAlign w:val="superscript"/>
        </w:rPr>
        <w:t>2</w:t>
      </w:r>
      <w:r w:rsidR="00A63496">
        <w:rPr>
          <w:b w:val="0"/>
        </w:rPr>
        <w:t xml:space="preserve">, </w:t>
      </w:r>
      <w:r>
        <w:rPr>
          <w:bCs w:val="0"/>
        </w:rPr>
        <w:t>Akhmad Kasan Gupron</w:t>
      </w:r>
      <w:r w:rsidR="00A63496">
        <w:rPr>
          <w:b w:val="0"/>
          <w:vertAlign w:val="superscript"/>
        </w:rPr>
        <w:t>3</w:t>
      </w:r>
      <w:r w:rsidR="00A63496">
        <w:rPr>
          <w:b w:val="0"/>
        </w:rPr>
        <w:t>,</w:t>
      </w:r>
      <w:r w:rsidR="00A63496">
        <w:rPr>
          <w:b w:val="0"/>
          <w:vertAlign w:val="superscript"/>
        </w:rPr>
        <w:t xml:space="preserve"> </w:t>
      </w:r>
      <w:r>
        <w:rPr>
          <w:bCs w:val="0"/>
        </w:rPr>
        <w:t>Faris Nofandi</w:t>
      </w:r>
      <w:r w:rsidR="00A63496">
        <w:rPr>
          <w:b w:val="0"/>
          <w:vertAlign w:val="superscript"/>
        </w:rPr>
        <w:t>4</w:t>
      </w:r>
    </w:p>
    <w:p w14:paraId="56DEC52F" w14:textId="482374BA" w:rsidR="00A63496" w:rsidRDefault="00A63496" w:rsidP="00A63496">
      <w:pPr>
        <w:ind w:left="284"/>
      </w:pPr>
      <w:r w:rsidRPr="00C560A1">
        <w:rPr>
          <w:vertAlign w:val="superscript"/>
        </w:rPr>
        <w:t>1</w:t>
      </w:r>
      <w:r w:rsidR="00C560A1" w:rsidRPr="00C560A1">
        <w:rPr>
          <w:vertAlign w:val="superscript"/>
        </w:rPr>
        <w:t>,2.3.</w:t>
      </w:r>
      <w:r w:rsidRPr="00C560A1">
        <w:rPr>
          <w:vertAlign w:val="superscript"/>
        </w:rPr>
        <w:t>4</w:t>
      </w:r>
      <w:r>
        <w:t xml:space="preserve"> </w:t>
      </w:r>
      <w:proofErr w:type="spellStart"/>
      <w:r>
        <w:t>Politeknik</w:t>
      </w:r>
      <w:proofErr w:type="spellEnd"/>
      <w:r>
        <w:t xml:space="preserve"> </w:t>
      </w:r>
      <w:proofErr w:type="spellStart"/>
      <w:r>
        <w:t>Pelayaran</w:t>
      </w:r>
      <w:proofErr w:type="spellEnd"/>
      <w:r>
        <w:t xml:space="preserve"> (</w:t>
      </w:r>
      <w:proofErr w:type="spellStart"/>
      <w:r>
        <w:t>Poltekpel</w:t>
      </w:r>
      <w:proofErr w:type="spellEnd"/>
      <w:r>
        <w:t>) Surabaya</w:t>
      </w:r>
    </w:p>
    <w:p w14:paraId="5D2F5B6C" w14:textId="7CD32987" w:rsidR="001D42D1" w:rsidRPr="00B251B1" w:rsidRDefault="001D42D1" w:rsidP="001D42D1">
      <w:pPr>
        <w:pStyle w:val="ListParagraph"/>
        <w:tabs>
          <w:tab w:val="left" w:pos="679"/>
        </w:tabs>
        <w:ind w:left="426" w:firstLine="0"/>
      </w:pPr>
    </w:p>
    <w:p w14:paraId="3E4AFD04" w14:textId="1E0A6395" w:rsidR="001D42D1" w:rsidRPr="00B251B1" w:rsidRDefault="001D42D1" w:rsidP="001D42D1">
      <w:pPr>
        <w:ind w:firstLine="284"/>
      </w:pPr>
      <w:r w:rsidRPr="00A63496">
        <w:t>DOI: 10.31004/</w:t>
      </w:r>
      <w:proofErr w:type="gramStart"/>
      <w:r w:rsidRPr="00A63496">
        <w:t>jestm.v</w:t>
      </w:r>
      <w:proofErr w:type="gramEnd"/>
      <w:r w:rsidR="004F40F5">
        <w:t>6</w:t>
      </w:r>
      <w:r w:rsidRPr="00A63496">
        <w:t>i</w:t>
      </w:r>
      <w:r w:rsidR="004F40F5">
        <w:t>2</w:t>
      </w:r>
      <w:r w:rsidRPr="00A63496">
        <w:t>.</w:t>
      </w:r>
      <w:r w:rsidR="004F40F5">
        <w:t>460</w:t>
      </w:r>
    </w:p>
    <w:p w14:paraId="09CBAE64" w14:textId="77777777" w:rsidR="001D42D1" w:rsidRPr="00B251B1" w:rsidRDefault="001D42D1" w:rsidP="001D42D1">
      <w:pPr>
        <w:ind w:firstLine="284"/>
      </w:pPr>
    </w:p>
    <w:p w14:paraId="25E7DA10" w14:textId="0A5E1BD9" w:rsidR="00583D52" w:rsidRPr="00B251B1" w:rsidRDefault="00583D52" w:rsidP="00583D52">
      <w:pPr>
        <w:pStyle w:val="BodyText"/>
        <w:ind w:left="284"/>
        <w:rPr>
          <w:sz w:val="18"/>
        </w:rPr>
      </w:pPr>
      <w:r w:rsidRPr="00B251B1">
        <w:t>E-mail</w:t>
      </w:r>
      <w:r w:rsidRPr="004F40F5">
        <w:t xml:space="preserve">: </w:t>
      </w:r>
      <w:hyperlink r:id="rId11" w:history="1">
        <w:r w:rsidR="004F40F5" w:rsidRPr="004F40F5">
          <w:rPr>
            <w:rStyle w:val="Hyperlink"/>
            <w:color w:val="auto"/>
            <w:position w:val="5"/>
            <w:sz w:val="14"/>
            <w:u w:val="none"/>
          </w:rPr>
          <w:t>a</w:t>
        </w:r>
        <w:r w:rsidR="004F40F5" w:rsidRPr="004F40F5">
          <w:rPr>
            <w:rStyle w:val="Hyperlink"/>
            <w:color w:val="auto"/>
            <w:u w:val="none"/>
          </w:rPr>
          <w:t xml:space="preserve">muhrifqiaditya1946@email.com, (Corresponding author), </w:t>
        </w:r>
      </w:hyperlink>
      <w:r w:rsidRPr="004F40F5">
        <w:rPr>
          <w:position w:val="5"/>
          <w:sz w:val="14"/>
        </w:rPr>
        <w:t>b</w:t>
      </w:r>
      <w:hyperlink r:id="rId12" w:history="1">
        <w:r w:rsidR="004F40F5" w:rsidRPr="004F40F5">
          <w:rPr>
            <w:rStyle w:val="Hyperlink"/>
            <w:color w:val="auto"/>
            <w:u w:val="none"/>
          </w:rPr>
          <w:t>bugi.nugraha@poltekpel-sby.ac.id,</w:t>
        </w:r>
      </w:hyperlink>
      <w:r w:rsidR="00A63496" w:rsidRPr="004F40F5">
        <w:t xml:space="preserve"> </w:t>
      </w:r>
      <w:r w:rsidR="004F40F5" w:rsidRPr="004F40F5">
        <w:rPr>
          <w:vertAlign w:val="superscript"/>
        </w:rPr>
        <w:t>c</w:t>
      </w:r>
      <w:hyperlink r:id="rId13" w:history="1">
        <w:r w:rsidR="004F40F5" w:rsidRPr="004F40F5">
          <w:rPr>
            <w:rStyle w:val="Hyperlink"/>
            <w:color w:val="auto"/>
            <w:u w:val="none"/>
          </w:rPr>
          <w:t>akhmad.gupron@poltekpel-sby.ac.id</w:t>
        </w:r>
      </w:hyperlink>
      <w:r w:rsidR="00A63496" w:rsidRPr="004F40F5">
        <w:t xml:space="preserve">, </w:t>
      </w:r>
      <w:r w:rsidR="004F40F5" w:rsidRPr="004F40F5">
        <w:rPr>
          <w:vertAlign w:val="superscript"/>
        </w:rPr>
        <w:t>d</w:t>
      </w:r>
      <w:hyperlink r:id="rId14" w:history="1">
        <w:r w:rsidR="004F40F5" w:rsidRPr="004F40F5">
          <w:rPr>
            <w:rStyle w:val="Hyperlink"/>
            <w:color w:val="auto"/>
            <w:u w:val="none"/>
          </w:rPr>
          <w:t>faris.nofandi@poltekpel-sby.ac.id</w:t>
        </w:r>
      </w:hyperlink>
      <w:r w:rsidR="00C93758">
        <w:t xml:space="preserve"> </w:t>
      </w:r>
    </w:p>
    <w:p w14:paraId="4AA571BA" w14:textId="16B3F82A" w:rsidR="00583D52" w:rsidRPr="00B251B1" w:rsidRDefault="00631F63" w:rsidP="00583D52">
      <w:pPr>
        <w:pStyle w:val="BodyText"/>
        <w:rPr>
          <w:i/>
          <w:sz w:val="20"/>
        </w:rPr>
      </w:pPr>
      <w:r w:rsidRPr="00B251B1">
        <w:rPr>
          <w:noProof/>
        </w:rPr>
        <mc:AlternateContent>
          <mc:Choice Requires="wps">
            <w:drawing>
              <wp:anchor distT="0" distB="0" distL="0" distR="0" simplePos="0" relativeHeight="251661312" behindDoc="1" locked="0" layoutInCell="1" allowOverlap="1" wp14:anchorId="26C01629" wp14:editId="7DB5AA1E">
                <wp:simplePos x="0" y="0"/>
                <wp:positionH relativeFrom="page">
                  <wp:posOffset>579755</wp:posOffset>
                </wp:positionH>
                <wp:positionV relativeFrom="paragraph">
                  <wp:posOffset>52070</wp:posOffset>
                </wp:positionV>
                <wp:extent cx="6333490" cy="12065"/>
                <wp:effectExtent l="0" t="0" r="0" b="0"/>
                <wp:wrapTopAndBottom/>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3349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8B4DFD9" id="Rectangle 1" o:spid="_x0000_s1026" style="position:absolute;margin-left:45.65pt;margin-top:4.1pt;width:498.7pt;height:.95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" fillcolor="black" stroked="f">
                <w10:wrap type="topAndBottom" anchorx="page"/>
              </v:rect>
            </w:pict>
          </mc:Fallback>
        </mc:AlternateContent>
      </w:r>
    </w:p>
    <w:p w14:paraId="4808C536" w14:textId="77777777" w:rsidR="00583D52" w:rsidRPr="00B251B1" w:rsidRDefault="00583D52" w:rsidP="00583D52">
      <w:pPr>
        <w:pStyle w:val="BodyText"/>
        <w:spacing w:before="9" w:after="1"/>
        <w:rPr>
          <w:i/>
        </w:rPr>
      </w:pPr>
    </w:p>
    <w:tbl>
      <w:tblPr>
        <w:tblW w:w="9562" w:type="dxa"/>
        <w:tblInd w:w="219" w:type="dxa"/>
        <w:tblLayout w:type="fixed"/>
        <w:tblCellMar>
          <w:left w:w="0" w:type="dxa"/>
          <w:right w:w="0" w:type="dxa"/>
        </w:tblCellMar>
        <w:tblLook w:val="01E0" w:firstRow="1" w:lastRow="1" w:firstColumn="1" w:lastColumn="1" w:noHBand="0" w:noVBand="0"/>
      </w:tblPr>
      <w:tblGrid>
        <w:gridCol w:w="3675"/>
        <w:gridCol w:w="5887"/>
      </w:tblGrid>
      <w:tr w:rsidR="00583D52" w:rsidRPr="00B251B1" w14:paraId="59212068" w14:textId="77777777" w:rsidTr="00631F63">
        <w:trPr>
          <w:trHeight w:val="383"/>
        </w:trPr>
        <w:tc>
          <w:tcPr>
            <w:tcW w:w="3675" w:type="dxa"/>
            <w:tcBorders>
              <w:bottom w:val="single" w:sz="8" w:space="0" w:color="000000"/>
            </w:tcBorders>
            <w:shd w:val="clear" w:color="auto" w:fill="F1F1F1"/>
          </w:tcPr>
          <w:p w14:paraId="13827DE3" w14:textId="77777777" w:rsidR="00583D52" w:rsidRPr="00B251B1" w:rsidRDefault="00583D52" w:rsidP="00107050">
            <w:pPr>
              <w:pStyle w:val="TableParagraph"/>
              <w:spacing w:before="55"/>
              <w:ind w:left="107"/>
              <w:rPr>
                <w:sz w:val="16"/>
              </w:rPr>
            </w:pPr>
            <w:r w:rsidRPr="00B251B1">
              <w:rPr>
                <w:sz w:val="20"/>
              </w:rPr>
              <w:t>ARTICLE INFORMATION</w:t>
            </w:r>
          </w:p>
        </w:tc>
        <w:tc>
          <w:tcPr>
            <w:tcW w:w="5887" w:type="dxa"/>
            <w:tcBorders>
              <w:bottom w:val="single" w:sz="8" w:space="0" w:color="000000"/>
            </w:tcBorders>
          </w:tcPr>
          <w:p w14:paraId="10243C11" w14:textId="794D8CA9" w:rsidR="00583D52" w:rsidRPr="00B251B1" w:rsidRDefault="00583D52" w:rsidP="00107050">
            <w:pPr>
              <w:pStyle w:val="TableParagraph"/>
              <w:ind w:left="468"/>
              <w:rPr>
                <w:b/>
              </w:rPr>
            </w:pPr>
            <w:r w:rsidRPr="00B251B1">
              <w:rPr>
                <w:b/>
              </w:rPr>
              <w:t>A B S T R A C T</w:t>
            </w:r>
          </w:p>
        </w:tc>
      </w:tr>
      <w:tr w:rsidR="00583D52" w:rsidRPr="004F40F5" w14:paraId="3AD4B238" w14:textId="77777777" w:rsidTr="00631F63">
        <w:trPr>
          <w:trHeight w:val="1194"/>
        </w:trPr>
        <w:tc>
          <w:tcPr>
            <w:tcW w:w="3675" w:type="dxa"/>
            <w:tcBorders>
              <w:top w:val="single" w:sz="8" w:space="0" w:color="000000"/>
            </w:tcBorders>
          </w:tcPr>
          <w:p w14:paraId="66E51384" w14:textId="7A7273C5" w:rsidR="00583D52" w:rsidRPr="004F40F5" w:rsidRDefault="00583D52" w:rsidP="00107050">
            <w:pPr>
              <w:pStyle w:val="TableParagraph"/>
              <w:spacing w:before="116"/>
              <w:ind w:left="107"/>
              <w:rPr>
                <w:iCs/>
                <w:sz w:val="20"/>
                <w:szCs w:val="20"/>
              </w:rPr>
            </w:pPr>
            <w:r w:rsidRPr="004F40F5">
              <w:rPr>
                <w:iCs/>
                <w:sz w:val="20"/>
                <w:szCs w:val="20"/>
              </w:rPr>
              <w:t xml:space="preserve">Volume </w:t>
            </w:r>
            <w:r w:rsidR="004F40F5" w:rsidRPr="004F40F5">
              <w:rPr>
                <w:iCs/>
                <w:sz w:val="20"/>
                <w:szCs w:val="20"/>
              </w:rPr>
              <w:t>6</w:t>
            </w:r>
            <w:r w:rsidRPr="004F40F5">
              <w:rPr>
                <w:iCs/>
                <w:sz w:val="20"/>
                <w:szCs w:val="20"/>
              </w:rPr>
              <w:t xml:space="preserve"> Issue </w:t>
            </w:r>
            <w:r w:rsidR="004F40F5" w:rsidRPr="004F40F5">
              <w:rPr>
                <w:iCs/>
                <w:sz w:val="20"/>
                <w:szCs w:val="20"/>
              </w:rPr>
              <w:t>2</w:t>
            </w:r>
          </w:p>
          <w:p w14:paraId="7D2A91B5" w14:textId="6383CCD2" w:rsidR="00583D52" w:rsidRPr="004F40F5" w:rsidRDefault="00583D52" w:rsidP="00107050">
            <w:pPr>
              <w:pStyle w:val="TableParagraph"/>
              <w:spacing w:before="30"/>
              <w:ind w:left="107"/>
              <w:rPr>
                <w:sz w:val="20"/>
                <w:szCs w:val="20"/>
              </w:rPr>
            </w:pPr>
            <w:r w:rsidRPr="004F40F5">
              <w:rPr>
                <w:sz w:val="20"/>
                <w:szCs w:val="20"/>
              </w:rPr>
              <w:t xml:space="preserve">Received: </w:t>
            </w:r>
            <w:r w:rsidR="004F40F5" w:rsidRPr="004F40F5">
              <w:rPr>
                <w:sz w:val="20"/>
                <w:szCs w:val="20"/>
              </w:rPr>
              <w:t>30</w:t>
            </w:r>
            <w:r w:rsidRPr="004F40F5">
              <w:rPr>
                <w:sz w:val="20"/>
                <w:szCs w:val="20"/>
              </w:rPr>
              <w:t xml:space="preserve"> </w:t>
            </w:r>
            <w:r w:rsidR="004F40F5" w:rsidRPr="004F40F5">
              <w:rPr>
                <w:sz w:val="20"/>
                <w:szCs w:val="20"/>
              </w:rPr>
              <w:t>June</w:t>
            </w:r>
            <w:r w:rsidRPr="004F40F5">
              <w:rPr>
                <w:sz w:val="20"/>
                <w:szCs w:val="20"/>
              </w:rPr>
              <w:t xml:space="preserve"> </w:t>
            </w:r>
            <w:r w:rsidR="004F40F5" w:rsidRPr="004F40F5">
              <w:rPr>
                <w:sz w:val="20"/>
                <w:szCs w:val="20"/>
              </w:rPr>
              <w:t>2026</w:t>
            </w:r>
          </w:p>
          <w:p w14:paraId="6524B607" w14:textId="6358A50F" w:rsidR="00583D52" w:rsidRPr="004F40F5" w:rsidRDefault="00583D52" w:rsidP="00107050">
            <w:pPr>
              <w:pStyle w:val="TableParagraph"/>
              <w:spacing w:before="30"/>
              <w:ind w:left="107"/>
              <w:rPr>
                <w:sz w:val="20"/>
                <w:szCs w:val="20"/>
              </w:rPr>
            </w:pPr>
            <w:r w:rsidRPr="004F40F5">
              <w:rPr>
                <w:sz w:val="20"/>
                <w:szCs w:val="20"/>
              </w:rPr>
              <w:t xml:space="preserve">Accepted: </w:t>
            </w:r>
            <w:r w:rsidR="004F40F5" w:rsidRPr="004F40F5">
              <w:rPr>
                <w:sz w:val="20"/>
                <w:szCs w:val="20"/>
              </w:rPr>
              <w:t>13</w:t>
            </w:r>
            <w:r w:rsidRPr="004F40F5">
              <w:rPr>
                <w:sz w:val="20"/>
                <w:szCs w:val="20"/>
              </w:rPr>
              <w:t xml:space="preserve"> </w:t>
            </w:r>
            <w:r w:rsidR="004F40F5" w:rsidRPr="004F40F5">
              <w:rPr>
                <w:sz w:val="20"/>
                <w:szCs w:val="20"/>
              </w:rPr>
              <w:t>July</w:t>
            </w:r>
            <w:r w:rsidRPr="004F40F5">
              <w:rPr>
                <w:sz w:val="20"/>
                <w:szCs w:val="20"/>
              </w:rPr>
              <w:t xml:space="preserve"> </w:t>
            </w:r>
            <w:r w:rsidR="004F40F5" w:rsidRPr="004F40F5">
              <w:rPr>
                <w:sz w:val="20"/>
                <w:szCs w:val="20"/>
              </w:rPr>
              <w:t>2026</w:t>
            </w:r>
          </w:p>
          <w:p w14:paraId="4C680C53" w14:textId="722DAC8C" w:rsidR="00583D52" w:rsidRPr="004F40F5" w:rsidRDefault="00583D52" w:rsidP="00107050">
            <w:pPr>
              <w:pStyle w:val="TableParagraph"/>
              <w:spacing w:before="30"/>
              <w:ind w:left="107"/>
              <w:rPr>
                <w:sz w:val="20"/>
                <w:szCs w:val="20"/>
              </w:rPr>
            </w:pPr>
            <w:r w:rsidRPr="004F40F5">
              <w:rPr>
                <w:sz w:val="20"/>
                <w:szCs w:val="20"/>
              </w:rPr>
              <w:t xml:space="preserve">Publish </w:t>
            </w:r>
            <w:r w:rsidRPr="004F40F5">
              <w:rPr>
                <w:i/>
                <w:iCs/>
                <w:sz w:val="20"/>
                <w:szCs w:val="20"/>
              </w:rPr>
              <w:t>Online</w:t>
            </w:r>
            <w:r w:rsidRPr="004F40F5">
              <w:rPr>
                <w:sz w:val="20"/>
                <w:szCs w:val="20"/>
              </w:rPr>
              <w:t xml:space="preserve">: </w:t>
            </w:r>
            <w:r w:rsidR="004F40F5" w:rsidRPr="004F40F5">
              <w:rPr>
                <w:sz w:val="20"/>
                <w:szCs w:val="20"/>
              </w:rPr>
              <w:t>15</w:t>
            </w:r>
            <w:r w:rsidRPr="004F40F5">
              <w:rPr>
                <w:sz w:val="20"/>
                <w:szCs w:val="20"/>
              </w:rPr>
              <w:t xml:space="preserve"> </w:t>
            </w:r>
            <w:r w:rsidR="004F40F5" w:rsidRPr="004F40F5">
              <w:rPr>
                <w:sz w:val="20"/>
                <w:szCs w:val="20"/>
              </w:rPr>
              <w:t>July</w:t>
            </w:r>
            <w:r w:rsidRPr="004F40F5">
              <w:rPr>
                <w:sz w:val="20"/>
                <w:szCs w:val="20"/>
              </w:rPr>
              <w:t xml:space="preserve"> </w:t>
            </w:r>
            <w:r w:rsidR="004F40F5" w:rsidRPr="004F40F5">
              <w:rPr>
                <w:sz w:val="20"/>
                <w:szCs w:val="20"/>
              </w:rPr>
              <w:t>2026</w:t>
            </w:r>
          </w:p>
          <w:p w14:paraId="4EADA790" w14:textId="77777777" w:rsidR="00583D52" w:rsidRPr="004F40F5" w:rsidRDefault="00583D52" w:rsidP="00107050">
            <w:pPr>
              <w:pStyle w:val="TableParagraph"/>
              <w:spacing w:before="27"/>
              <w:ind w:left="107"/>
              <w:rPr>
                <w:sz w:val="20"/>
                <w:szCs w:val="20"/>
              </w:rPr>
            </w:pPr>
            <w:r w:rsidRPr="004F40F5">
              <w:rPr>
                <w:i/>
                <w:sz w:val="20"/>
                <w:szCs w:val="20"/>
              </w:rPr>
              <w:t>Online</w:t>
            </w:r>
            <w:r w:rsidRPr="004F40F5">
              <w:rPr>
                <w:sz w:val="20"/>
                <w:szCs w:val="20"/>
              </w:rPr>
              <w:t xml:space="preserve">: at </w:t>
            </w:r>
            <w:proofErr w:type="gramStart"/>
            <w:r w:rsidRPr="004F40F5">
              <w:rPr>
                <w:sz w:val="20"/>
                <w:szCs w:val="20"/>
              </w:rPr>
              <w:t>https:JESTM.org</w:t>
            </w:r>
            <w:proofErr w:type="gramEnd"/>
            <w:r w:rsidRPr="004F40F5">
              <w:rPr>
                <w:sz w:val="20"/>
                <w:szCs w:val="20"/>
              </w:rPr>
              <w:t>/</w:t>
            </w:r>
          </w:p>
          <w:p w14:paraId="7702303A" w14:textId="04975A2C" w:rsidR="00583D52" w:rsidRPr="004F40F5" w:rsidRDefault="00583D52" w:rsidP="00107050">
            <w:pPr>
              <w:pStyle w:val="TableParagraph"/>
              <w:spacing w:before="27"/>
              <w:ind w:left="107"/>
              <w:rPr>
                <w:sz w:val="20"/>
                <w:szCs w:val="20"/>
              </w:rPr>
            </w:pPr>
          </w:p>
          <w:p w14:paraId="2A011702" w14:textId="77777777" w:rsidR="00583D52" w:rsidRPr="004F40F5" w:rsidRDefault="00583D52" w:rsidP="00107050">
            <w:pPr>
              <w:pStyle w:val="TableParagraph"/>
              <w:spacing w:before="27"/>
              <w:ind w:left="107"/>
              <w:rPr>
                <w:sz w:val="20"/>
                <w:szCs w:val="20"/>
              </w:rPr>
            </w:pPr>
          </w:p>
          <w:p w14:paraId="06DC7DF9" w14:textId="77777777" w:rsidR="00583D52" w:rsidRPr="004F40F5" w:rsidRDefault="00583D52" w:rsidP="00107050">
            <w:pPr>
              <w:pStyle w:val="TableParagraph"/>
              <w:spacing w:before="27"/>
              <w:ind w:left="107"/>
              <w:rPr>
                <w:sz w:val="20"/>
                <w:szCs w:val="20"/>
              </w:rPr>
            </w:pPr>
          </w:p>
        </w:tc>
        <w:tc>
          <w:tcPr>
            <w:tcW w:w="5887" w:type="dxa"/>
            <w:vMerge w:val="restart"/>
            <w:tcBorders>
              <w:top w:val="single" w:sz="8" w:space="0" w:color="000000"/>
              <w:bottom w:val="single" w:sz="8" w:space="0" w:color="000000"/>
            </w:tcBorders>
          </w:tcPr>
          <w:p w14:paraId="46F30B5D" w14:textId="3DA7E992" w:rsidR="00583D52" w:rsidRPr="004F40F5" w:rsidRDefault="00677C35" w:rsidP="00677C35">
            <w:pPr>
              <w:pStyle w:val="TableParagraph"/>
              <w:spacing w:before="114"/>
              <w:ind w:left="468" w:right="102"/>
              <w:jc w:val="both"/>
              <w:rPr>
                <w:color w:val="000000"/>
                <w:sz w:val="20"/>
                <w:szCs w:val="20"/>
              </w:rPr>
            </w:pPr>
            <w:r w:rsidRPr="004F40F5">
              <w:rPr>
                <w:sz w:val="20"/>
                <w:szCs w:val="20"/>
              </w:rPr>
              <w:t>Occupational Safety and Health (OSH) management in Liquified Natural Gas (LNG) terminals requires stringent alignment with both general workplace safety and process safety protocols. This study evaluates the implementation of the OSH Management System (SMK3) at PT X, an LNG logistics terminal in Indonesia, focusing on employee Personal Protective Equipment (PPE) compliance and visitor safety controls. Utilizing a qualitative case study design, data were collected through field observations, document reviews, and semi-structured interviews with nine key informants across operational and safety divisions. The data were analyzed using a formal SWOT/TOWS matrix to develop strategic interventions. The findings indicate that while PT X’s institutional procedures—such as mandatory safety inductions, daily toolbox meetings, and medical fit-to-work screenings—are consistent with ISO 45001 standards, critical field execution gaps remain. Empirical evidence highlights recurring PPE non-compliance driven by human factors (e.g., thermal discomfort), visitor violations of electronic device restrictions in hazardous explosive zones, and logistical bottlenecks due to insufficient visitor PPE inventory during peak periods. The study concludes that achieving optimal safety compliance requires moving beyond bureaucratic procedures. Practical implications include the necessity for risk-based PPE procurement, the enforcement of a controlled intrinsically-safe device management policy, and enhanced human-centric safety supervision.</w:t>
            </w:r>
          </w:p>
          <w:p w14:paraId="550B6231" w14:textId="77777777" w:rsidR="00583D52" w:rsidRPr="004F40F5" w:rsidRDefault="00583D52" w:rsidP="00107050">
            <w:pPr>
              <w:rPr>
                <w:sz w:val="20"/>
                <w:szCs w:val="20"/>
              </w:rPr>
            </w:pPr>
          </w:p>
          <w:p w14:paraId="30C2C38C" w14:textId="77777777" w:rsidR="00583D52" w:rsidRPr="004F40F5" w:rsidRDefault="00583D52" w:rsidP="00107050">
            <w:pPr>
              <w:jc w:val="center"/>
              <w:rPr>
                <w:sz w:val="20"/>
                <w:szCs w:val="20"/>
              </w:rPr>
            </w:pPr>
          </w:p>
        </w:tc>
      </w:tr>
      <w:bookmarkEnd w:id="0"/>
      <w:tr w:rsidR="00583D52" w:rsidRPr="00B251B1" w14:paraId="29F0AFBD" w14:textId="77777777" w:rsidTr="00631F63">
        <w:trPr>
          <w:trHeight w:val="376"/>
        </w:trPr>
        <w:tc>
          <w:tcPr>
            <w:tcW w:w="3675" w:type="dxa"/>
            <w:tcBorders>
              <w:bottom w:val="single" w:sz="8" w:space="0" w:color="000000"/>
            </w:tcBorders>
            <w:shd w:val="clear" w:color="auto" w:fill="F1F1F1"/>
          </w:tcPr>
          <w:p w14:paraId="0CC5D874" w14:textId="77777777" w:rsidR="00583D52" w:rsidRPr="00B251B1" w:rsidRDefault="00583D52" w:rsidP="00107050">
            <w:pPr>
              <w:pStyle w:val="TableParagraph"/>
              <w:spacing w:before="45"/>
              <w:ind w:left="107"/>
              <w:rPr>
                <w:b/>
                <w:bCs/>
                <w:sz w:val="16"/>
              </w:rPr>
            </w:pPr>
            <w:r w:rsidRPr="00B251B1">
              <w:rPr>
                <w:b/>
                <w:bCs/>
                <w:sz w:val="20"/>
              </w:rPr>
              <w:t>Keywords</w:t>
            </w:r>
          </w:p>
        </w:tc>
        <w:tc>
          <w:tcPr>
            <w:tcW w:w="5887" w:type="dxa"/>
            <w:vMerge/>
            <w:tcBorders>
              <w:top w:val="nil"/>
              <w:bottom w:val="single" w:sz="8" w:space="0" w:color="000000"/>
            </w:tcBorders>
          </w:tcPr>
          <w:p w14:paraId="1D0D7FE8" w14:textId="77777777" w:rsidR="00583D52" w:rsidRPr="00B251B1" w:rsidRDefault="00583D52" w:rsidP="00107050">
            <w:pPr>
              <w:rPr>
                <w:sz w:val="2"/>
                <w:szCs w:val="2"/>
              </w:rPr>
            </w:pPr>
          </w:p>
        </w:tc>
      </w:tr>
      <w:tr w:rsidR="00583D52" w:rsidRPr="00B251B1" w14:paraId="5A4C6839" w14:textId="77777777" w:rsidTr="00631F63">
        <w:trPr>
          <w:trHeight w:val="1179"/>
        </w:trPr>
        <w:tc>
          <w:tcPr>
            <w:tcW w:w="3675" w:type="dxa"/>
            <w:tcBorders>
              <w:top w:val="single" w:sz="8" w:space="0" w:color="000000"/>
              <w:bottom w:val="single" w:sz="4" w:space="0" w:color="auto"/>
            </w:tcBorders>
          </w:tcPr>
          <w:p w14:paraId="0E5C19DF" w14:textId="623C46C7" w:rsidR="00677C35" w:rsidRPr="00605880" w:rsidRDefault="00677C35" w:rsidP="00677C35">
            <w:pPr>
              <w:pStyle w:val="TableParagraph"/>
              <w:spacing w:line="276" w:lineRule="auto"/>
              <w:ind w:left="107" w:right="921"/>
              <w:rPr>
                <w:sz w:val="20"/>
                <w:szCs w:val="24"/>
              </w:rPr>
            </w:pPr>
            <w:r w:rsidRPr="00605880">
              <w:rPr>
                <w:sz w:val="20"/>
                <w:szCs w:val="24"/>
              </w:rPr>
              <w:t>Occupational safety and health</w:t>
            </w:r>
          </w:p>
          <w:p w14:paraId="40F91E7C" w14:textId="2DF26FCC" w:rsidR="00677C35" w:rsidRPr="00605880" w:rsidRDefault="00677C35" w:rsidP="00C93758">
            <w:pPr>
              <w:pStyle w:val="TableParagraph"/>
              <w:spacing w:line="276" w:lineRule="auto"/>
              <w:ind w:left="107" w:right="1438"/>
              <w:rPr>
                <w:sz w:val="20"/>
                <w:szCs w:val="24"/>
              </w:rPr>
            </w:pPr>
            <w:r w:rsidRPr="00605880">
              <w:rPr>
                <w:sz w:val="20"/>
                <w:szCs w:val="24"/>
              </w:rPr>
              <w:t>PPE compliance</w:t>
            </w:r>
          </w:p>
          <w:p w14:paraId="5F16526C" w14:textId="47D5739C" w:rsidR="00677C35" w:rsidRPr="00605880" w:rsidRDefault="00677C35" w:rsidP="00C93758">
            <w:pPr>
              <w:pStyle w:val="TableParagraph"/>
              <w:spacing w:line="276" w:lineRule="auto"/>
              <w:ind w:left="107" w:right="1438"/>
              <w:rPr>
                <w:sz w:val="20"/>
                <w:szCs w:val="24"/>
              </w:rPr>
            </w:pPr>
            <w:r w:rsidRPr="00605880">
              <w:rPr>
                <w:sz w:val="20"/>
                <w:szCs w:val="24"/>
              </w:rPr>
              <w:t>visitor safety</w:t>
            </w:r>
          </w:p>
          <w:p w14:paraId="52318B43" w14:textId="62C10AA6" w:rsidR="00677C35" w:rsidRPr="00605880" w:rsidRDefault="00677C35" w:rsidP="00C93758">
            <w:pPr>
              <w:pStyle w:val="TableParagraph"/>
              <w:spacing w:line="276" w:lineRule="auto"/>
              <w:ind w:left="107" w:right="1438"/>
              <w:rPr>
                <w:sz w:val="20"/>
                <w:szCs w:val="24"/>
              </w:rPr>
            </w:pPr>
            <w:r w:rsidRPr="00605880">
              <w:rPr>
                <w:sz w:val="20"/>
                <w:szCs w:val="24"/>
              </w:rPr>
              <w:t>LNG terminal</w:t>
            </w:r>
          </w:p>
          <w:p w14:paraId="26BABA85" w14:textId="22C2807C" w:rsidR="00583D52" w:rsidRPr="00B251B1" w:rsidRDefault="00677C35" w:rsidP="00C93758">
            <w:pPr>
              <w:pStyle w:val="TableParagraph"/>
              <w:spacing w:line="276" w:lineRule="auto"/>
              <w:ind w:left="107" w:right="1438"/>
              <w:rPr>
                <w:sz w:val="18"/>
              </w:rPr>
            </w:pPr>
            <w:r w:rsidRPr="00605880">
              <w:rPr>
                <w:sz w:val="20"/>
                <w:szCs w:val="24"/>
              </w:rPr>
              <w:t>process safety</w:t>
            </w:r>
          </w:p>
        </w:tc>
        <w:tc>
          <w:tcPr>
            <w:tcW w:w="5887" w:type="dxa"/>
            <w:vMerge/>
            <w:tcBorders>
              <w:top w:val="single" w:sz="8" w:space="0" w:color="000000"/>
              <w:bottom w:val="single" w:sz="4" w:space="0" w:color="auto"/>
            </w:tcBorders>
          </w:tcPr>
          <w:p w14:paraId="64924420" w14:textId="77777777" w:rsidR="00583D52" w:rsidRPr="00B251B1" w:rsidRDefault="00583D52" w:rsidP="00107050">
            <w:pPr>
              <w:rPr>
                <w:sz w:val="2"/>
                <w:szCs w:val="2"/>
              </w:rPr>
            </w:pPr>
          </w:p>
        </w:tc>
      </w:tr>
    </w:tbl>
    <w:p w14:paraId="68AED943" w14:textId="4523A0AC" w:rsidR="00583D52" w:rsidRPr="00B251B1" w:rsidRDefault="00583D52">
      <w:pPr>
        <w:sectPr w:rsidR="00583D52" w:rsidRPr="00B251B1" w:rsidSect="004F40F5">
          <w:footerReference w:type="default" r:id="rId15"/>
          <w:pgSz w:w="11907" w:h="16840" w:code="9"/>
          <w:pgMar w:top="1134" w:right="1134" w:bottom="1701" w:left="1134" w:header="720" w:footer="720" w:gutter="0"/>
          <w:pgNumType w:start="469"/>
          <w:cols w:space="720"/>
          <w:docGrid w:linePitch="360"/>
        </w:sectPr>
      </w:pPr>
    </w:p>
    <w:p w14:paraId="004A61DF" w14:textId="01B3C69C" w:rsidR="00583D52" w:rsidRPr="00B251B1" w:rsidRDefault="00917679" w:rsidP="00583D52">
      <w:pPr>
        <w:pStyle w:val="BodyText"/>
        <w:numPr>
          <w:ilvl w:val="0"/>
          <w:numId w:val="5"/>
        </w:numPr>
        <w:spacing w:line="250" w:lineRule="exact"/>
        <w:ind w:left="426" w:hanging="426"/>
        <w:rPr>
          <w:b/>
          <w:bCs/>
        </w:rPr>
      </w:pPr>
      <w:r w:rsidRPr="00B251B1">
        <w:rPr>
          <w:b/>
          <w:bCs/>
        </w:rPr>
        <w:lastRenderedPageBreak/>
        <w:t>Introduction</w:t>
      </w:r>
    </w:p>
    <w:p w14:paraId="55C03AD9" w14:textId="7A136D7E" w:rsidR="00677C35" w:rsidRPr="004F40F5" w:rsidRDefault="00677C35" w:rsidP="00677C35">
      <w:pPr>
        <w:pStyle w:val="BodyText"/>
        <w:spacing w:line="250" w:lineRule="exact"/>
        <w:ind w:firstLineChars="193" w:firstLine="425"/>
        <w:jc w:val="both"/>
        <w:rPr>
          <w:lang w:val="id-ID"/>
        </w:rPr>
      </w:pPr>
      <w:r w:rsidRPr="004F40F5">
        <w:rPr>
          <w:lang w:val="id-ID"/>
        </w:rPr>
        <w:t>Occupational Safety and Health (OSH) management is a critical pillar of industrial operations, particularly within high-risk environments such as maritime logistics and cryogenic energy distribution. In Indonesia, the systematic application of the Occupational Safety and Health Management System (</w:t>
      </w:r>
      <w:r w:rsidRPr="004F40F5">
        <w:rPr>
          <w:i/>
          <w:iCs/>
          <w:lang w:val="id-ID"/>
        </w:rPr>
        <w:t>Sistem Manajemen Keselamatan dan Kesehatan Kerja</w:t>
      </w:r>
      <w:r w:rsidRPr="004F40F5">
        <w:rPr>
          <w:lang w:val="id-ID"/>
        </w:rPr>
        <w:t xml:space="preserve"> or SMK3) is mandated by Government Regulation No. 50 of 2012, requiring hazardous industries to integrate comprehensive risk control mechanisms into their primary operational frameworks (Government of Indonesia, 2012). The rigorous application of these standards is essential to mitigate workplace hazards that could culminate in human injury, catastrophic asset loss, and severe environmental impact (Asfian et al., 2022). </w:t>
      </w:r>
    </w:p>
    <w:p w14:paraId="4A9E8BDF" w14:textId="77777777" w:rsidR="00677C35" w:rsidRPr="004F40F5" w:rsidRDefault="00677C35" w:rsidP="00677C35">
      <w:pPr>
        <w:pStyle w:val="BodyText"/>
        <w:spacing w:line="250" w:lineRule="exact"/>
        <w:ind w:firstLineChars="193" w:firstLine="425"/>
        <w:jc w:val="both"/>
        <w:rPr>
          <w:lang w:val="id-ID"/>
        </w:rPr>
      </w:pPr>
      <w:r w:rsidRPr="004F40F5">
        <w:rPr>
          <w:lang w:val="id-ID"/>
        </w:rPr>
        <w:t xml:space="preserve">PT X, a subsidiary of a state-owned enterprise, operates as a vital national object within the energy logistics sector. The facility manages midstream Liquified Natural Gas (LNG) services—including shipping, cryogenic storage, and regasification—alongside onshore marine bunkering operations (PT X, 2024). Handling LNG involves navigating catastrophic risks, specifically explosive atmospheres and cryogenic burns, making stringent process safety and OSH protocols non-negotiable (Nuswantara et al., 2014; CCPS, 2022). To systematically manage these risks, PT X has aligned its internal policies with the ISO 45001:2018 OSH management system framework (ISO, 2018). </w:t>
      </w:r>
    </w:p>
    <w:p w14:paraId="3F68B936" w14:textId="77777777" w:rsidR="00677C35" w:rsidRPr="004F40F5" w:rsidRDefault="00677C35" w:rsidP="00677C35">
      <w:pPr>
        <w:pStyle w:val="BodyText"/>
        <w:spacing w:line="250" w:lineRule="exact"/>
        <w:ind w:firstLineChars="193" w:firstLine="425"/>
        <w:jc w:val="both"/>
        <w:rPr>
          <w:lang w:val="id-ID"/>
        </w:rPr>
      </w:pPr>
      <w:r w:rsidRPr="004F40F5">
        <w:rPr>
          <w:lang w:val="id-ID"/>
        </w:rPr>
        <w:t xml:space="preserve">However, the existence of Standard Operating Procedures (SOPs) and systemic alignment with ISO 45001 does not inherently guarantee operational compliance (Hale &amp; Borys, 2013). Previous studies highlight that deficient safety culture, inadequate supervision, and human error frequently obstruct the effective application of SMK3 in complex industrial environments (Kurnia, 2020; Zohar, 2010). While the positive correlation between robust OSH systems, employee performance, and organizational resilience is well-documented (Khotami &amp; Bahar, 2022; Geller, 2005), significant gaps often emerge between documented policies and field realities (Reason, 2016). </w:t>
      </w:r>
    </w:p>
    <w:p w14:paraId="2F96263C" w14:textId="77777777" w:rsidR="00677C35" w:rsidRPr="004F40F5" w:rsidRDefault="00677C35" w:rsidP="00677C35">
      <w:pPr>
        <w:pStyle w:val="BodyText"/>
        <w:spacing w:line="250" w:lineRule="exact"/>
        <w:ind w:firstLineChars="193" w:firstLine="425"/>
        <w:jc w:val="both"/>
        <w:rPr>
          <w:lang w:val="id-ID"/>
        </w:rPr>
      </w:pPr>
      <w:r w:rsidRPr="004F40F5">
        <w:rPr>
          <w:lang w:val="id-ID"/>
        </w:rPr>
        <w:t xml:space="preserve">Preliminary field observations at PT X reveal several critical vulnerabilities. A segment of the workforce exhibits behavioral non-compliance regarding the mandatory use of specialized Personal Protective Equipment (PPE) (e.g., flame-retardant wearpacks, safety helmets). Furthermore, transient populations, specifically external visitors, frequently breach hazardous area regulations. The unauthorized use of non-certified mobile phones within the LNG terminal’s classified explosive zones presents a severe ignition hazard, as these devices can generate sparks capable of igniting an invisible gas leak (Kurniawan et al., 2020; Kletz, 2001). </w:t>
      </w:r>
    </w:p>
    <w:p w14:paraId="167F236E" w14:textId="31AD9F9C" w:rsidR="00917679" w:rsidRPr="004F40F5" w:rsidRDefault="00677C35" w:rsidP="00677C35">
      <w:pPr>
        <w:pStyle w:val="BodyText"/>
        <w:spacing w:line="250" w:lineRule="exact"/>
        <w:ind w:firstLineChars="193" w:firstLine="425"/>
        <w:jc w:val="both"/>
        <w:rPr>
          <w:lang w:val="id-ID"/>
        </w:rPr>
      </w:pPr>
      <w:r w:rsidRPr="004F40F5">
        <w:rPr>
          <w:lang w:val="id-ID"/>
        </w:rPr>
        <w:t>While previous literature extensively covers general OSH compliance (Aini, 2020; Sinaga &amp; Gaol, 2020), there is a distinct research gap regarding the intersection of employee behavioral safety and transient visitor control within high-risk LNG terminal environments. Consequently, this study aims to systematically evaluate OSH implementation at PT X by addressing three research questions: (1) How are OSH procedures practically implemented for daily employee activities and visitor reception? (2) What are the operational and human-factor determinants of safety non-compliance? (3) What data-driven strategic interventions can optimize risk management at the facility?</w:t>
      </w:r>
    </w:p>
    <w:p w14:paraId="1FBF9D99" w14:textId="150DABDC" w:rsidR="00FA23EE" w:rsidRPr="00B251B1" w:rsidRDefault="00FA23EE" w:rsidP="00A96743">
      <w:pPr>
        <w:widowControl/>
        <w:adjustRightInd w:val="0"/>
        <w:jc w:val="both"/>
        <w:rPr>
          <w:rFonts w:eastAsiaTheme="minorHAnsi"/>
          <w:color w:val="000000"/>
          <w:sz w:val="20"/>
          <w:szCs w:val="20"/>
        </w:rPr>
      </w:pPr>
    </w:p>
    <w:p w14:paraId="660926B8" w14:textId="4AD6776F" w:rsidR="00677C35" w:rsidRPr="004F40F5" w:rsidRDefault="001D7675" w:rsidP="00677C35">
      <w:pPr>
        <w:pStyle w:val="ListParagraph"/>
        <w:widowControl/>
        <w:numPr>
          <w:ilvl w:val="0"/>
          <w:numId w:val="5"/>
        </w:numPr>
        <w:adjustRightInd w:val="0"/>
        <w:ind w:left="426" w:hanging="426"/>
        <w:rPr>
          <w:rFonts w:eastAsiaTheme="minorHAnsi"/>
          <w:b/>
          <w:bCs/>
        </w:rPr>
      </w:pPr>
      <w:r w:rsidRPr="004F40F5">
        <w:rPr>
          <w:rFonts w:eastAsiaTheme="minorHAnsi"/>
          <w:b/>
          <w:bCs/>
        </w:rPr>
        <w:t xml:space="preserve">Literature </w:t>
      </w:r>
      <w:proofErr w:type="spellStart"/>
      <w:r w:rsidRPr="004F40F5">
        <w:rPr>
          <w:rFonts w:eastAsiaTheme="minorHAnsi"/>
          <w:b/>
          <w:bCs/>
        </w:rPr>
        <w:t>Riview</w:t>
      </w:r>
      <w:proofErr w:type="spellEnd"/>
    </w:p>
    <w:p w14:paraId="2BDADEA8" w14:textId="069C993E" w:rsidR="00677C35" w:rsidRPr="004F40F5" w:rsidRDefault="00677C35" w:rsidP="00677C35">
      <w:pPr>
        <w:adjustRightInd w:val="0"/>
        <w:jc w:val="both"/>
        <w:rPr>
          <w:rFonts w:eastAsiaTheme="minorHAnsi"/>
          <w:color w:val="000000"/>
          <w:lang w:val="id-ID"/>
        </w:rPr>
      </w:pPr>
      <w:r w:rsidRPr="004F40F5">
        <w:rPr>
          <w:rFonts w:eastAsiaTheme="minorHAnsi"/>
          <w:b/>
          <w:bCs/>
          <w:color w:val="000000"/>
          <w:lang w:val="id-ID"/>
        </w:rPr>
        <w:t>2.1 Occupational and Process Safety in Hazardous Terminals</w:t>
      </w:r>
    </w:p>
    <w:p w14:paraId="647C2ECB" w14:textId="69F30A31" w:rsidR="00677C35" w:rsidRDefault="00677C35" w:rsidP="00677C35">
      <w:pPr>
        <w:adjustRightInd w:val="0"/>
        <w:ind w:firstLine="426"/>
        <w:jc w:val="both"/>
        <w:rPr>
          <w:rFonts w:eastAsiaTheme="minorHAnsi"/>
          <w:color w:val="000000"/>
          <w:lang w:val="id-ID"/>
        </w:rPr>
      </w:pPr>
      <w:r w:rsidRPr="004F40F5">
        <w:rPr>
          <w:rFonts w:eastAsiaTheme="minorHAnsi"/>
          <w:color w:val="000000"/>
          <w:lang w:val="id-ID"/>
        </w:rPr>
        <w:t xml:space="preserve">The foundation of safety management in LNG facilities requires a dual approach: traditional OSH management and Process Safety Management (PSM). While OSH focuses on preventing personal injuries (e.g., slips, trips, and falls) through mechanisms like SMK3, process safety focuses on preventing catastrophic events such as fires, explosions, and toxic releases (CCPS, 2022; Widodo &amp; Kristiawan, 2020). Previous research by Asfian et al. (2022) at a similar port facility emphasized that continuous monitoring and dynamic risk assessments are fundamental to operational safety. In LNG terminals, the classification of hazardous areas (e.g., ATEX Zones 0, 1, and 2) dictates strict ignition-source controls, requiring specialized intrinsically safe equipment and rendering standard consumer electronics highly dangerous (Kletz, 2001). </w:t>
      </w:r>
    </w:p>
    <w:p w14:paraId="22CC3F08" w14:textId="77777777" w:rsidR="004F40F5" w:rsidRPr="004F40F5" w:rsidRDefault="004F40F5" w:rsidP="00677C35">
      <w:pPr>
        <w:adjustRightInd w:val="0"/>
        <w:ind w:firstLine="426"/>
        <w:jc w:val="both"/>
        <w:rPr>
          <w:rFonts w:eastAsiaTheme="minorHAnsi"/>
          <w:color w:val="000000"/>
          <w:lang w:val="id-ID"/>
        </w:rPr>
      </w:pPr>
    </w:p>
    <w:p w14:paraId="6DFDBED4" w14:textId="77777777" w:rsidR="00677C35" w:rsidRPr="004F40F5" w:rsidRDefault="00677C35" w:rsidP="00677C35">
      <w:pPr>
        <w:adjustRightInd w:val="0"/>
        <w:jc w:val="both"/>
        <w:rPr>
          <w:rFonts w:eastAsiaTheme="minorHAnsi"/>
          <w:color w:val="000000"/>
          <w:lang w:val="id-ID"/>
        </w:rPr>
      </w:pPr>
      <w:r w:rsidRPr="004F40F5">
        <w:rPr>
          <w:rFonts w:eastAsiaTheme="minorHAnsi"/>
          <w:b/>
          <w:bCs/>
          <w:color w:val="000000"/>
          <w:lang w:val="id-ID"/>
        </w:rPr>
        <w:t>2.2 Behavioral Compliance and Human Factors</w:t>
      </w:r>
    </w:p>
    <w:p w14:paraId="0B1C0242" w14:textId="2BC98B9D" w:rsidR="00677C35" w:rsidRPr="004F40F5" w:rsidRDefault="00677C35" w:rsidP="00677C35">
      <w:pPr>
        <w:adjustRightInd w:val="0"/>
        <w:ind w:firstLine="426"/>
        <w:jc w:val="both"/>
        <w:rPr>
          <w:rFonts w:eastAsiaTheme="minorHAnsi"/>
          <w:color w:val="000000"/>
          <w:lang w:val="id-ID"/>
        </w:rPr>
      </w:pPr>
      <w:r w:rsidRPr="004F40F5">
        <w:rPr>
          <w:rFonts w:eastAsiaTheme="minorHAnsi"/>
          <w:color w:val="000000"/>
          <w:lang w:val="id-ID"/>
        </w:rPr>
        <w:t xml:space="preserve">The disparity between safety procedures ("work-as-imagined") and actual field execution ("work-as-done") is a central theme in human factors engineering (Dekker, 2019). Kurnia (2020) identified that inconsistent enforcement and management commitment are primary barriers to OSH compliance. Furthermore, employee reluctance to utilize PPE is rarely rooted in malicious negligence; rather, it is often a product of human factors such as thermal discomfort, poor ergonomic fit, high workload, and a degraded local safety climate (Reason, 2016; Zohar, 2010). Khotami and Bahar (2022) demonstrated that a well-implemented OSH system actively shapes employee behavior, fostering a mature safety culture that normalizes compliance. </w:t>
      </w:r>
    </w:p>
    <w:p w14:paraId="1F8A8427" w14:textId="77777777" w:rsidR="00677C35" w:rsidRPr="004F40F5" w:rsidRDefault="00677C35" w:rsidP="00677C35">
      <w:pPr>
        <w:adjustRightInd w:val="0"/>
        <w:jc w:val="both"/>
        <w:rPr>
          <w:rFonts w:eastAsiaTheme="minorHAnsi"/>
          <w:b/>
          <w:bCs/>
          <w:color w:val="000000"/>
          <w:lang w:val="id-ID"/>
        </w:rPr>
      </w:pPr>
    </w:p>
    <w:p w14:paraId="329193F2" w14:textId="15E57A1E" w:rsidR="00677C35" w:rsidRPr="004F40F5" w:rsidRDefault="00677C35" w:rsidP="00677C35">
      <w:pPr>
        <w:adjustRightInd w:val="0"/>
        <w:jc w:val="both"/>
        <w:rPr>
          <w:rFonts w:eastAsiaTheme="minorHAnsi"/>
          <w:color w:val="000000"/>
          <w:lang w:val="id-ID"/>
        </w:rPr>
      </w:pPr>
      <w:r w:rsidRPr="004F40F5">
        <w:rPr>
          <w:rFonts w:eastAsiaTheme="minorHAnsi"/>
          <w:b/>
          <w:bCs/>
          <w:color w:val="000000"/>
          <w:lang w:val="id-ID"/>
        </w:rPr>
        <w:t>2.3 Visitor Safety Management</w:t>
      </w:r>
      <w:r w:rsidRPr="004F40F5">
        <w:rPr>
          <w:rFonts w:eastAsiaTheme="minorHAnsi"/>
          <w:color w:val="000000"/>
          <w:lang w:val="id-ID"/>
        </w:rPr>
        <w:t xml:space="preserve"> </w:t>
      </w:r>
    </w:p>
    <w:p w14:paraId="4C8F4FA7" w14:textId="61025C08" w:rsidR="00677C35" w:rsidRDefault="00677C35" w:rsidP="00677C35">
      <w:pPr>
        <w:adjustRightInd w:val="0"/>
        <w:ind w:firstLine="426"/>
        <w:jc w:val="both"/>
        <w:rPr>
          <w:rFonts w:eastAsiaTheme="minorHAnsi"/>
          <w:color w:val="000000"/>
          <w:lang w:val="id-ID"/>
        </w:rPr>
      </w:pPr>
      <w:r w:rsidRPr="004F40F5">
        <w:rPr>
          <w:rFonts w:eastAsiaTheme="minorHAnsi"/>
          <w:color w:val="000000"/>
          <w:lang w:val="id-ID"/>
        </w:rPr>
        <w:t xml:space="preserve">Unlike daily employees, external visitors and contractors possess limited site-specific hazard awareness (Hopkins, 2019). Effective visitor control is paramount in high-consequence industries. Institutional procedures typically rely on safety inductions and escorted supervision (Darim, 2020; Hartono et al., 2023). However, as Kurniawan et al. (2020) highlighted regarding the necessity of rigorous equipment readiness, administrative controls (like briefings) are prone to human error and must be supported by physical controls (e.g., equipment confiscation, structural barriers) to ensure complete facility integrity. </w:t>
      </w:r>
    </w:p>
    <w:p w14:paraId="053BDFD6" w14:textId="77777777" w:rsidR="00C560A1" w:rsidRPr="004F40F5" w:rsidRDefault="00C560A1" w:rsidP="00677C35">
      <w:pPr>
        <w:adjustRightInd w:val="0"/>
        <w:ind w:firstLine="426"/>
        <w:jc w:val="both"/>
        <w:rPr>
          <w:rFonts w:eastAsiaTheme="minorHAnsi"/>
          <w:color w:val="000000"/>
          <w:lang w:val="id-ID"/>
        </w:rPr>
      </w:pPr>
    </w:p>
    <w:p w14:paraId="30EFA3EB" w14:textId="76FB82C1" w:rsidR="00677C35" w:rsidRPr="004F40F5" w:rsidRDefault="00677C35" w:rsidP="00C560A1">
      <w:pPr>
        <w:adjustRightInd w:val="0"/>
        <w:jc w:val="both"/>
        <w:rPr>
          <w:rFonts w:eastAsiaTheme="minorHAnsi"/>
          <w:color w:val="000000"/>
          <w:lang w:val="id-ID"/>
        </w:rPr>
      </w:pPr>
      <w:r w:rsidRPr="004F40F5">
        <w:rPr>
          <w:rFonts w:eastAsiaTheme="minorHAnsi"/>
          <w:b/>
          <w:bCs/>
          <w:color w:val="000000"/>
          <w:lang w:val="id-ID"/>
        </w:rPr>
        <w:t xml:space="preserve">2.4 Analytical Framework: SWOT in Safety </w:t>
      </w:r>
      <w:r w:rsidR="00C560A1">
        <w:rPr>
          <w:rFonts w:eastAsiaTheme="minorHAnsi"/>
          <w:b/>
          <w:bCs/>
          <w:color w:val="000000"/>
          <w:lang w:val="id-ID"/>
        </w:rPr>
        <w:t xml:space="preserve">  </w:t>
      </w:r>
      <w:r w:rsidRPr="004F40F5">
        <w:rPr>
          <w:rFonts w:eastAsiaTheme="minorHAnsi"/>
          <w:b/>
          <w:bCs/>
          <w:color w:val="000000"/>
          <w:lang w:val="id-ID"/>
        </w:rPr>
        <w:t>Strategy</w:t>
      </w:r>
    </w:p>
    <w:p w14:paraId="171E16CA" w14:textId="6F9F9008" w:rsidR="004D48A4" w:rsidRPr="004F40F5" w:rsidRDefault="00677C35" w:rsidP="00677C35">
      <w:pPr>
        <w:adjustRightInd w:val="0"/>
        <w:ind w:firstLine="426"/>
        <w:jc w:val="both"/>
        <w:rPr>
          <w:rFonts w:eastAsiaTheme="minorHAnsi"/>
          <w:color w:val="000000"/>
          <w:lang w:val="id-ID"/>
        </w:rPr>
      </w:pPr>
      <w:r w:rsidRPr="004F40F5">
        <w:rPr>
          <w:rFonts w:eastAsiaTheme="minorHAnsi"/>
          <w:color w:val="000000"/>
          <w:lang w:val="id-ID"/>
        </w:rPr>
        <w:t>To systematically assess these dynamics, this study utilizes the Strengths, Weaknesses, Opportunities, and Threats (SWOT) framework. Rather than a mere descriptive tool, a formal TOWS matrix allows for the synthesis of internal organizational capabilities (S, W) with external environmental factors (O, T) to generate prioritized, actionable risk-control strategies (Geller, 2005; Hale &amp; Borys, 2013).</w:t>
      </w:r>
    </w:p>
    <w:p w14:paraId="485500B7" w14:textId="1B3CBC82" w:rsidR="00A96743" w:rsidRPr="00C560A1" w:rsidRDefault="00A96743" w:rsidP="00A96743">
      <w:pPr>
        <w:widowControl/>
        <w:adjustRightInd w:val="0"/>
        <w:rPr>
          <w:rFonts w:eastAsiaTheme="minorHAnsi"/>
        </w:rPr>
      </w:pPr>
    </w:p>
    <w:p w14:paraId="3CE29DA3" w14:textId="6483990B" w:rsidR="00A96743" w:rsidRPr="00C560A1" w:rsidRDefault="001D7675" w:rsidP="00A96743">
      <w:pPr>
        <w:pStyle w:val="ListParagraph"/>
        <w:widowControl/>
        <w:numPr>
          <w:ilvl w:val="0"/>
          <w:numId w:val="5"/>
        </w:numPr>
        <w:adjustRightInd w:val="0"/>
        <w:ind w:left="426" w:hanging="426"/>
        <w:rPr>
          <w:rFonts w:eastAsiaTheme="minorHAnsi"/>
          <w:b/>
          <w:bCs/>
        </w:rPr>
      </w:pPr>
      <w:r w:rsidRPr="00C560A1">
        <w:rPr>
          <w:rFonts w:eastAsiaTheme="minorHAnsi"/>
          <w:b/>
          <w:bCs/>
        </w:rPr>
        <w:t>Research Methodology</w:t>
      </w:r>
    </w:p>
    <w:p w14:paraId="3867045A" w14:textId="190A5913" w:rsidR="00252F6E" w:rsidRPr="00C560A1" w:rsidRDefault="00252F6E" w:rsidP="00C560A1">
      <w:pPr>
        <w:adjustRightInd w:val="0"/>
        <w:ind w:left="284" w:hanging="284"/>
        <w:jc w:val="both"/>
        <w:rPr>
          <w:rFonts w:eastAsiaTheme="minorHAnsi"/>
          <w:b/>
          <w:bCs/>
          <w:lang w:val="id-ID"/>
        </w:rPr>
      </w:pPr>
      <w:r w:rsidRPr="00C560A1">
        <w:rPr>
          <w:rFonts w:eastAsiaTheme="minorHAnsi"/>
          <w:b/>
          <w:bCs/>
          <w:lang w:val="id-ID"/>
        </w:rPr>
        <w:t xml:space="preserve">3.1 </w:t>
      </w:r>
      <w:r w:rsidR="00C560A1">
        <w:rPr>
          <w:rFonts w:eastAsiaTheme="minorHAnsi"/>
          <w:b/>
          <w:bCs/>
          <w:lang w:val="id-ID"/>
        </w:rPr>
        <w:t xml:space="preserve">  </w:t>
      </w:r>
      <w:r w:rsidRPr="00C560A1">
        <w:rPr>
          <w:rFonts w:eastAsiaTheme="minorHAnsi"/>
          <w:b/>
          <w:bCs/>
          <w:lang w:val="id-ID"/>
        </w:rPr>
        <w:t>Research Design</w:t>
      </w:r>
      <w:r w:rsidR="00FB7DF6" w:rsidRPr="00C560A1">
        <w:rPr>
          <w:rFonts w:eastAsiaTheme="minorHAnsi"/>
          <w:b/>
          <w:bCs/>
          <w:lang w:val="id-ID"/>
        </w:rPr>
        <w:t xml:space="preserve"> and Scope</w:t>
      </w:r>
    </w:p>
    <w:p w14:paraId="276A9325" w14:textId="7E188FDE" w:rsidR="00FB7DF6" w:rsidRPr="00C560A1" w:rsidRDefault="00FB7DF6" w:rsidP="00FB7DF6">
      <w:pPr>
        <w:adjustRightInd w:val="0"/>
        <w:ind w:firstLine="426"/>
        <w:jc w:val="both"/>
        <w:rPr>
          <w:rFonts w:eastAsiaTheme="minorHAnsi"/>
          <w:lang w:val="id-ID"/>
        </w:rPr>
      </w:pPr>
      <w:r w:rsidRPr="00C560A1">
        <w:rPr>
          <w:rFonts w:eastAsiaTheme="minorHAnsi"/>
          <w:lang w:val="id-ID"/>
        </w:rPr>
        <w:t xml:space="preserve">This study employs a qualitative case study design. This methodology was selected because it enables an in-depth, contextual investigation of operational phenomena—specifically behavioral compliance and procedural breakdowns—in their natural industrial setting (Sugiyono, 2022). To ensure analytical precision, the scope of observation was strictly limited to the midstream LNG regasification terminal, excluding the marine bunkering stations, as the LNG sector presents the highest volatility and strictest visitor control requirements. To maintain institutional confidentiality regarding critical national infrastructure, the facility is anonymized as "PT X." </w:t>
      </w:r>
    </w:p>
    <w:p w14:paraId="08D52806" w14:textId="77777777" w:rsidR="00FB7DF6" w:rsidRPr="00C560A1" w:rsidRDefault="00FB7DF6" w:rsidP="00FB7DF6">
      <w:pPr>
        <w:adjustRightInd w:val="0"/>
        <w:jc w:val="both"/>
        <w:rPr>
          <w:rFonts w:eastAsiaTheme="minorHAnsi"/>
          <w:lang w:val="id-ID"/>
        </w:rPr>
      </w:pPr>
      <w:r w:rsidRPr="00C560A1">
        <w:rPr>
          <w:rFonts w:eastAsiaTheme="minorHAnsi"/>
          <w:b/>
          <w:bCs/>
          <w:lang w:val="id-ID"/>
        </w:rPr>
        <w:t>3.2 Data Sources and Participants</w:t>
      </w:r>
      <w:r w:rsidRPr="00C560A1">
        <w:rPr>
          <w:rFonts w:eastAsiaTheme="minorHAnsi"/>
          <w:lang w:val="id-ID"/>
        </w:rPr>
        <w:t xml:space="preserve"> </w:t>
      </w:r>
    </w:p>
    <w:p w14:paraId="3E9BAF95" w14:textId="43AAC1AF" w:rsidR="00FB7DF6" w:rsidRDefault="00FB7DF6" w:rsidP="00FB7DF6">
      <w:pPr>
        <w:adjustRightInd w:val="0"/>
        <w:ind w:firstLine="426"/>
        <w:jc w:val="both"/>
        <w:rPr>
          <w:rFonts w:eastAsiaTheme="minorHAnsi"/>
          <w:lang w:val="id-ID"/>
        </w:rPr>
      </w:pPr>
      <w:r w:rsidRPr="00C560A1">
        <w:rPr>
          <w:rFonts w:eastAsiaTheme="minorHAnsi"/>
          <w:lang w:val="id-ID"/>
        </w:rPr>
        <w:t xml:space="preserve">Primary data were collected over a six-month period (August 2022 to January 2023). The study utilized purposive sampling to select nine key informants directly responsible for field execution and safety oversight: one Head of HSSQE, two Operations Supervisors, two Maintenance Engineers, one Central Control Room (CCR) Operator, two Security Officers, and one Occupational Health Nurse. </w:t>
      </w:r>
    </w:p>
    <w:p w14:paraId="3526C6E0" w14:textId="77777777" w:rsidR="00C560A1" w:rsidRPr="00C560A1" w:rsidRDefault="00C560A1" w:rsidP="00FB7DF6">
      <w:pPr>
        <w:adjustRightInd w:val="0"/>
        <w:ind w:firstLine="426"/>
        <w:jc w:val="both"/>
        <w:rPr>
          <w:rFonts w:eastAsiaTheme="minorHAnsi"/>
          <w:lang w:val="id-ID"/>
        </w:rPr>
      </w:pPr>
    </w:p>
    <w:p w14:paraId="6B2A835B" w14:textId="77777777" w:rsidR="00FB7DF6" w:rsidRPr="00C560A1" w:rsidRDefault="00FB7DF6" w:rsidP="00FB7DF6">
      <w:pPr>
        <w:adjustRightInd w:val="0"/>
        <w:jc w:val="both"/>
        <w:rPr>
          <w:rFonts w:eastAsiaTheme="minorHAnsi"/>
          <w:lang w:val="id-ID"/>
        </w:rPr>
      </w:pPr>
      <w:r w:rsidRPr="00C560A1">
        <w:rPr>
          <w:rFonts w:eastAsiaTheme="minorHAnsi"/>
          <w:b/>
          <w:bCs/>
          <w:lang w:val="id-ID"/>
        </w:rPr>
        <w:t>3.3 Data Collection and Ethical Considerations</w:t>
      </w:r>
    </w:p>
    <w:p w14:paraId="75ABC95B" w14:textId="72A2D0A0" w:rsidR="00FB7DF6" w:rsidRPr="00C560A1" w:rsidRDefault="00FB7DF6" w:rsidP="00FB7DF6">
      <w:pPr>
        <w:adjustRightInd w:val="0"/>
        <w:ind w:firstLine="426"/>
        <w:jc w:val="both"/>
        <w:rPr>
          <w:rFonts w:eastAsiaTheme="minorHAnsi"/>
          <w:lang w:val="id-ID"/>
        </w:rPr>
      </w:pPr>
      <w:r w:rsidRPr="00C560A1">
        <w:rPr>
          <w:rFonts w:eastAsiaTheme="minorHAnsi"/>
          <w:lang w:val="id-ID"/>
        </w:rPr>
        <w:t xml:space="preserve">Data collection involved three triangulated methods: </w:t>
      </w:r>
    </w:p>
    <w:p w14:paraId="5A58AD48" w14:textId="77777777" w:rsidR="00FB7DF6" w:rsidRPr="00C560A1" w:rsidRDefault="00FB7DF6" w:rsidP="00C560A1">
      <w:pPr>
        <w:numPr>
          <w:ilvl w:val="0"/>
          <w:numId w:val="25"/>
        </w:numPr>
        <w:tabs>
          <w:tab w:val="clear" w:pos="720"/>
        </w:tabs>
        <w:adjustRightInd w:val="0"/>
        <w:ind w:left="426" w:hanging="426"/>
        <w:jc w:val="both"/>
        <w:rPr>
          <w:rFonts w:eastAsiaTheme="minorHAnsi"/>
          <w:lang w:val="id-ID"/>
        </w:rPr>
      </w:pPr>
      <w:r w:rsidRPr="00C560A1">
        <w:rPr>
          <w:rFonts w:eastAsiaTheme="minorHAnsi"/>
          <w:lang w:val="id-ID"/>
        </w:rPr>
        <w:t>Semi-Structured Interviews: Ranging from 30 to 45 minutes, focusing on daily safety routines, perceived compliance barriers, and visitor management challenges. All participants provided informed consent, and responses were anonymized.</w:t>
      </w:r>
    </w:p>
    <w:p w14:paraId="16FC7B5A" w14:textId="77777777" w:rsidR="00FB7DF6" w:rsidRPr="00C560A1" w:rsidRDefault="00FB7DF6" w:rsidP="00C560A1">
      <w:pPr>
        <w:numPr>
          <w:ilvl w:val="0"/>
          <w:numId w:val="25"/>
        </w:numPr>
        <w:tabs>
          <w:tab w:val="clear" w:pos="720"/>
        </w:tabs>
        <w:adjustRightInd w:val="0"/>
        <w:ind w:left="426" w:hanging="426"/>
        <w:jc w:val="both"/>
        <w:rPr>
          <w:rFonts w:eastAsiaTheme="minorHAnsi"/>
          <w:lang w:val="id-ID"/>
        </w:rPr>
      </w:pPr>
      <w:r w:rsidRPr="00C560A1">
        <w:rPr>
          <w:rFonts w:eastAsiaTheme="minorHAnsi"/>
          <w:lang w:val="id-ID"/>
        </w:rPr>
        <w:t>Direct Field Observation: Using a structured checklist, researchers observed daily toolbox meetings, PPE utilization rates during field tasks, and visitor induction sessions without interfering in operational duties.</w:t>
      </w:r>
    </w:p>
    <w:p w14:paraId="6F14D727" w14:textId="77777777" w:rsidR="00FB7DF6" w:rsidRDefault="00FB7DF6" w:rsidP="00C560A1">
      <w:pPr>
        <w:numPr>
          <w:ilvl w:val="0"/>
          <w:numId w:val="25"/>
        </w:numPr>
        <w:tabs>
          <w:tab w:val="clear" w:pos="720"/>
        </w:tabs>
        <w:adjustRightInd w:val="0"/>
        <w:ind w:left="426" w:hanging="426"/>
        <w:jc w:val="both"/>
        <w:rPr>
          <w:rFonts w:eastAsiaTheme="minorHAnsi"/>
          <w:lang w:val="id-ID"/>
        </w:rPr>
      </w:pPr>
      <w:r w:rsidRPr="00C560A1">
        <w:rPr>
          <w:rFonts w:eastAsiaTheme="minorHAnsi"/>
          <w:lang w:val="id-ID"/>
        </w:rPr>
        <w:t>Documentary Analysis: Reviewing institutional SOPs, visitor logbooks, Job Safety Analyses (JSAs), and ISO 45001 audit records to corroborate field observations and interview claims.</w:t>
      </w:r>
    </w:p>
    <w:p w14:paraId="04AEAB85" w14:textId="77777777" w:rsidR="00C560A1" w:rsidRPr="00C560A1" w:rsidRDefault="00C560A1" w:rsidP="00C560A1">
      <w:pPr>
        <w:adjustRightInd w:val="0"/>
        <w:ind w:left="426"/>
        <w:jc w:val="both"/>
        <w:rPr>
          <w:rFonts w:eastAsiaTheme="minorHAnsi"/>
          <w:lang w:val="id-ID"/>
        </w:rPr>
      </w:pPr>
    </w:p>
    <w:p w14:paraId="0D8EDA7F" w14:textId="77777777" w:rsidR="00FB7DF6" w:rsidRPr="00C560A1" w:rsidRDefault="00FB7DF6" w:rsidP="00FB7DF6">
      <w:pPr>
        <w:adjustRightInd w:val="0"/>
        <w:jc w:val="both"/>
        <w:rPr>
          <w:rFonts w:eastAsiaTheme="minorHAnsi"/>
          <w:lang w:val="id-ID"/>
        </w:rPr>
      </w:pPr>
      <w:r w:rsidRPr="00C560A1">
        <w:rPr>
          <w:rFonts w:eastAsiaTheme="minorHAnsi"/>
          <w:b/>
          <w:bCs/>
          <w:lang w:val="id-ID"/>
        </w:rPr>
        <w:t>3.4 Data Analysis Procedure</w:t>
      </w:r>
    </w:p>
    <w:p w14:paraId="7FCECF9A" w14:textId="652A04D0" w:rsidR="008B7F4D" w:rsidRPr="00C560A1" w:rsidRDefault="00FB7DF6" w:rsidP="00FB7DF6">
      <w:pPr>
        <w:adjustRightInd w:val="0"/>
        <w:ind w:firstLine="426"/>
        <w:jc w:val="both"/>
        <w:rPr>
          <w:rFonts w:eastAsiaTheme="minorHAnsi"/>
          <w:lang w:val="id-ID"/>
        </w:rPr>
      </w:pPr>
      <w:r w:rsidRPr="00C560A1">
        <w:rPr>
          <w:rFonts w:eastAsiaTheme="minorHAnsi"/>
          <w:lang w:val="id-ID"/>
        </w:rPr>
        <w:t>The data underwent thematic coding to identify patterns of compliance and vulnerability. These themes were subsequently categorized into internal (Strengths and Weaknesses) and external (Opportunities and Threats) factors. A formal SWOT/TOWS matrix was then constructed to derive prioritized strategic interventions linking empirical vulnerabilities to targeted organizational improvements.</w:t>
      </w:r>
    </w:p>
    <w:p w14:paraId="3BEBE370" w14:textId="77777777" w:rsidR="00252F6E" w:rsidRDefault="00252F6E" w:rsidP="00252F6E">
      <w:pPr>
        <w:widowControl/>
        <w:adjustRightInd w:val="0"/>
        <w:ind w:firstLine="426"/>
        <w:jc w:val="both"/>
        <w:rPr>
          <w:rFonts w:eastAsiaTheme="minorHAnsi"/>
          <w:lang w:val="id-ID"/>
        </w:rPr>
      </w:pPr>
    </w:p>
    <w:p w14:paraId="05041546" w14:textId="77777777" w:rsidR="00C560A1" w:rsidRDefault="00C560A1" w:rsidP="00252F6E">
      <w:pPr>
        <w:widowControl/>
        <w:adjustRightInd w:val="0"/>
        <w:ind w:firstLine="426"/>
        <w:jc w:val="both"/>
        <w:rPr>
          <w:rFonts w:eastAsiaTheme="minorHAnsi"/>
          <w:lang w:val="id-ID"/>
        </w:rPr>
      </w:pPr>
    </w:p>
    <w:p w14:paraId="03B65458" w14:textId="77777777" w:rsidR="00C560A1" w:rsidRPr="00C560A1" w:rsidRDefault="00C560A1" w:rsidP="00252F6E">
      <w:pPr>
        <w:widowControl/>
        <w:adjustRightInd w:val="0"/>
        <w:ind w:firstLine="426"/>
        <w:jc w:val="both"/>
        <w:rPr>
          <w:rFonts w:eastAsiaTheme="minorHAnsi"/>
          <w:lang w:val="id-ID"/>
        </w:rPr>
      </w:pPr>
    </w:p>
    <w:p w14:paraId="32D20675" w14:textId="3403B38D" w:rsidR="00566026" w:rsidRPr="00C560A1" w:rsidRDefault="00D817B9" w:rsidP="00C560A1">
      <w:pPr>
        <w:pStyle w:val="ListParagraph"/>
        <w:widowControl/>
        <w:numPr>
          <w:ilvl w:val="0"/>
          <w:numId w:val="5"/>
        </w:numPr>
        <w:adjustRightInd w:val="0"/>
        <w:ind w:left="284" w:hanging="284"/>
        <w:rPr>
          <w:rFonts w:eastAsiaTheme="minorHAnsi"/>
          <w:b/>
          <w:bCs/>
        </w:rPr>
      </w:pPr>
      <w:r w:rsidRPr="00C560A1">
        <w:rPr>
          <w:rFonts w:eastAsiaTheme="minorHAnsi"/>
          <w:b/>
          <w:bCs/>
        </w:rPr>
        <w:t>Results and Discussion</w:t>
      </w:r>
    </w:p>
    <w:p w14:paraId="4C76A7B6" w14:textId="5C5D6BFC" w:rsidR="00FB7DF6" w:rsidRPr="00C560A1" w:rsidRDefault="00FB7DF6" w:rsidP="00FB7DF6">
      <w:pPr>
        <w:jc w:val="both"/>
        <w:rPr>
          <w:rFonts w:eastAsiaTheme="minorHAnsi"/>
          <w:lang w:val="id-ID"/>
        </w:rPr>
      </w:pPr>
      <w:r w:rsidRPr="00C560A1">
        <w:rPr>
          <w:rFonts w:eastAsiaTheme="minorHAnsi"/>
          <w:b/>
          <w:bCs/>
          <w:lang w:val="id-ID"/>
        </w:rPr>
        <w:t>4.1</w:t>
      </w:r>
      <w:r w:rsidR="00C560A1" w:rsidRPr="00C560A1">
        <w:rPr>
          <w:rFonts w:eastAsiaTheme="minorHAnsi"/>
          <w:b/>
          <w:bCs/>
          <w:lang w:val="id-ID"/>
        </w:rPr>
        <w:t xml:space="preserve"> </w:t>
      </w:r>
      <w:r w:rsidRPr="00C560A1">
        <w:rPr>
          <w:rFonts w:eastAsiaTheme="minorHAnsi"/>
          <w:b/>
          <w:bCs/>
          <w:lang w:val="id-ID"/>
        </w:rPr>
        <w:t>Overview of the Operational and Hazardous Environment</w:t>
      </w:r>
      <w:r w:rsidRPr="00C560A1">
        <w:rPr>
          <w:rFonts w:eastAsiaTheme="minorHAnsi"/>
          <w:lang w:val="id-ID"/>
        </w:rPr>
        <w:t xml:space="preserve"> </w:t>
      </w:r>
    </w:p>
    <w:p w14:paraId="4559FB46" w14:textId="3339D394" w:rsidR="00FB7DF6" w:rsidRDefault="00FB7DF6" w:rsidP="00FB7DF6">
      <w:pPr>
        <w:ind w:firstLineChars="213" w:firstLine="469"/>
        <w:jc w:val="both"/>
        <w:rPr>
          <w:rFonts w:eastAsiaTheme="minorHAnsi"/>
          <w:lang w:val="id-ID"/>
        </w:rPr>
      </w:pPr>
      <w:r w:rsidRPr="00C560A1">
        <w:rPr>
          <w:rFonts w:eastAsiaTheme="minorHAnsi"/>
          <w:lang w:val="id-ID"/>
        </w:rPr>
        <w:t xml:space="preserve">PT X operates a highly complex midstream LNG terminal. The core operational areas—including the cryogenic storage tanks, the Floating Regasification Unit (FRU), and the metering pipelines—are classified as hazardous zones (e.g., Zone 1 and Zone 2 explosive atmospheres). In these zones, the continuous handling of volatile substances enforces a zero-tolerance policy for uncontrolled ignition sources. Consequently, all electrical equipment, tools, and communications devices entering the field must be ATEX or IECEx certified as "intrinsically safe." </w:t>
      </w:r>
    </w:p>
    <w:p w14:paraId="516CBBEA" w14:textId="77777777" w:rsidR="00C560A1" w:rsidRPr="00C560A1" w:rsidRDefault="00C560A1" w:rsidP="00FB7DF6">
      <w:pPr>
        <w:ind w:firstLineChars="213" w:firstLine="469"/>
        <w:jc w:val="both"/>
        <w:rPr>
          <w:rFonts w:eastAsiaTheme="minorHAnsi"/>
          <w:lang w:val="id-ID"/>
        </w:rPr>
      </w:pPr>
    </w:p>
    <w:p w14:paraId="0B3BEA0D" w14:textId="77777777" w:rsidR="00FB7DF6" w:rsidRPr="00C560A1" w:rsidRDefault="00FB7DF6" w:rsidP="00FB7DF6">
      <w:pPr>
        <w:jc w:val="both"/>
        <w:rPr>
          <w:rFonts w:eastAsiaTheme="minorHAnsi"/>
          <w:lang w:val="id-ID"/>
        </w:rPr>
      </w:pPr>
      <w:r w:rsidRPr="00C560A1">
        <w:rPr>
          <w:rFonts w:eastAsiaTheme="minorHAnsi"/>
          <w:b/>
          <w:bCs/>
          <w:lang w:val="id-ID"/>
        </w:rPr>
        <w:t>4.2 Empirical Implementation of Daily OSH Activities</w:t>
      </w:r>
    </w:p>
    <w:p w14:paraId="280984D9" w14:textId="294305A2" w:rsidR="00FB7DF6" w:rsidRPr="00C560A1" w:rsidRDefault="00FB7DF6" w:rsidP="00FB7DF6">
      <w:pPr>
        <w:ind w:firstLineChars="213" w:firstLine="469"/>
        <w:jc w:val="both"/>
        <w:rPr>
          <w:rFonts w:eastAsiaTheme="minorHAnsi"/>
          <w:lang w:val="id-ID"/>
        </w:rPr>
      </w:pPr>
      <w:r w:rsidRPr="00C560A1">
        <w:rPr>
          <w:rFonts w:eastAsiaTheme="minorHAnsi"/>
          <w:lang w:val="id-ID"/>
        </w:rPr>
        <w:t xml:space="preserve">Documentary evidence and field observations confirm that PT X has institutionalized three primary OSH mechanisms to control human risk: </w:t>
      </w:r>
    </w:p>
    <w:p w14:paraId="103A3933" w14:textId="77777777" w:rsidR="00FB7DF6" w:rsidRPr="00C560A1" w:rsidRDefault="00FB7DF6" w:rsidP="00C560A1">
      <w:pPr>
        <w:numPr>
          <w:ilvl w:val="0"/>
          <w:numId w:val="26"/>
        </w:numPr>
        <w:ind w:left="426" w:hanging="426"/>
        <w:jc w:val="both"/>
        <w:rPr>
          <w:rFonts w:eastAsiaTheme="minorHAnsi"/>
          <w:lang w:val="id-ID"/>
        </w:rPr>
      </w:pPr>
      <w:r w:rsidRPr="00C560A1">
        <w:rPr>
          <w:rFonts w:eastAsiaTheme="minorHAnsi"/>
          <w:lang w:val="id-ID"/>
        </w:rPr>
        <w:t xml:space="preserve">Mandatory Safety Inductions: Document reviews of the visitor and contractor registry confirmed that entry requires a valid safety induction certificate. Conducted in a multimedia room, the briefing covers evacuation routes, PPE mandates, and strict prohibitions (e.g., no non-certified electronics). The induction is valid for six months, after which institutional policy forces a mandatory renewal. </w:t>
      </w:r>
    </w:p>
    <w:p w14:paraId="24B10E21" w14:textId="77777777" w:rsidR="00FB7DF6" w:rsidRPr="00C560A1" w:rsidRDefault="00FB7DF6" w:rsidP="00FB7DF6">
      <w:pPr>
        <w:numPr>
          <w:ilvl w:val="0"/>
          <w:numId w:val="26"/>
        </w:numPr>
        <w:ind w:left="426"/>
        <w:jc w:val="both"/>
        <w:rPr>
          <w:rFonts w:eastAsiaTheme="minorHAnsi"/>
          <w:lang w:val="id-ID"/>
        </w:rPr>
      </w:pPr>
      <w:r w:rsidRPr="00C560A1">
        <w:rPr>
          <w:rFonts w:eastAsiaTheme="minorHAnsi"/>
          <w:lang w:val="id-ID"/>
        </w:rPr>
        <w:t xml:space="preserve">Daily Toolbox Meetings: Observation of the morning shift handovers revealed that the Operations and Maintenance teams systematically conduct Toolbox Meetings. Supported by daily Job Safety Analysis (JSA) documents, these meetings outline specific tasks, assign risk mitigation strategies, and coordinate high-risk activities (e.g., working at heights) with the 24-hour CCR operators. </w:t>
      </w:r>
    </w:p>
    <w:p w14:paraId="3777CF19" w14:textId="77777777" w:rsidR="00FB7DF6" w:rsidRPr="00C560A1" w:rsidRDefault="00FB7DF6" w:rsidP="00FB7DF6">
      <w:pPr>
        <w:numPr>
          <w:ilvl w:val="0"/>
          <w:numId w:val="26"/>
        </w:numPr>
        <w:ind w:left="426"/>
        <w:jc w:val="both"/>
        <w:rPr>
          <w:rFonts w:eastAsiaTheme="minorHAnsi"/>
          <w:lang w:val="id-ID"/>
        </w:rPr>
      </w:pPr>
      <w:r w:rsidRPr="00C560A1">
        <w:rPr>
          <w:rFonts w:eastAsiaTheme="minorHAnsi"/>
          <w:lang w:val="id-ID"/>
        </w:rPr>
        <w:t xml:space="preserve">Fit-to-Work (Fitwork) Medical Screenings: To proactively manage occupational health, every field operator undergoes a daily medical triage conducted by the onsite clinic. Clinic logs demonstrate that blood pressure, pulse, and temperature are recorded. Employees failing the medical threshold are temporarily suspended from field duties, demonstrating a tangible commitment to human reliability. </w:t>
      </w:r>
    </w:p>
    <w:p w14:paraId="0A50B406" w14:textId="77777777" w:rsidR="00FB7DF6" w:rsidRPr="00C560A1" w:rsidRDefault="00FB7DF6" w:rsidP="00FB7DF6">
      <w:pPr>
        <w:jc w:val="both"/>
        <w:rPr>
          <w:rFonts w:eastAsiaTheme="minorHAnsi"/>
          <w:lang w:val="id-ID"/>
        </w:rPr>
      </w:pPr>
      <w:r w:rsidRPr="00C560A1">
        <w:rPr>
          <w:rFonts w:eastAsiaTheme="minorHAnsi"/>
          <w:b/>
          <w:bCs/>
          <w:lang w:val="id-ID"/>
        </w:rPr>
        <w:t>4.3 Risk-Based PPE Standardization and Observed Compliance</w:t>
      </w:r>
    </w:p>
    <w:p w14:paraId="165B2DE5" w14:textId="7AC4696D" w:rsidR="00FB7DF6" w:rsidRPr="00C560A1" w:rsidRDefault="00FB7DF6" w:rsidP="00FB7DF6">
      <w:pPr>
        <w:ind w:firstLineChars="213" w:firstLine="469"/>
        <w:jc w:val="both"/>
        <w:rPr>
          <w:rFonts w:eastAsiaTheme="minorHAnsi"/>
          <w:lang w:val="id-ID"/>
        </w:rPr>
      </w:pPr>
      <w:r w:rsidRPr="00C560A1">
        <w:rPr>
          <w:rFonts w:eastAsiaTheme="minorHAnsi"/>
          <w:lang w:val="id-ID"/>
        </w:rPr>
        <w:t>Table 1 outlines the required PPE correlated with specific site hazards, alongside compliance levels derived from field observations.</w:t>
      </w:r>
    </w:p>
    <w:p w14:paraId="219F5545" w14:textId="77777777" w:rsidR="00FB7DF6" w:rsidRDefault="00FB7DF6" w:rsidP="00FB7DF6">
      <w:pPr>
        <w:ind w:firstLineChars="213" w:firstLine="428"/>
        <w:jc w:val="both"/>
        <w:rPr>
          <w:rFonts w:eastAsiaTheme="minorHAnsi"/>
          <w:b/>
          <w:bCs/>
          <w:sz w:val="20"/>
          <w:szCs w:val="20"/>
          <w:lang w:val="id-ID"/>
        </w:rPr>
        <w:sectPr w:rsidR="00FB7DF6" w:rsidSect="004F40F5">
          <w:pgSz w:w="11907" w:h="16840" w:code="9"/>
          <w:pgMar w:top="1588" w:right="1361" w:bottom="1361" w:left="1361" w:header="720" w:footer="203" w:gutter="0"/>
          <w:cols w:num="2" w:space="720"/>
          <w:docGrid w:linePitch="360"/>
        </w:sectPr>
      </w:pPr>
    </w:p>
    <w:p w14:paraId="57CFFD47" w14:textId="77777777" w:rsidR="00FB7DF6" w:rsidRDefault="00FB7DF6" w:rsidP="00FB7DF6">
      <w:pPr>
        <w:ind w:firstLineChars="213" w:firstLine="428"/>
        <w:jc w:val="center"/>
        <w:rPr>
          <w:rFonts w:eastAsiaTheme="minorHAnsi"/>
          <w:b/>
          <w:bCs/>
          <w:sz w:val="20"/>
          <w:szCs w:val="20"/>
          <w:lang w:val="id-ID"/>
        </w:rPr>
      </w:pPr>
    </w:p>
    <w:p w14:paraId="6D27F20C" w14:textId="49A4F175" w:rsidR="00FB7DF6" w:rsidRPr="00FB7DF6" w:rsidRDefault="00FB7DF6" w:rsidP="00FB7DF6">
      <w:pPr>
        <w:ind w:firstLineChars="213" w:firstLine="428"/>
        <w:jc w:val="center"/>
        <w:rPr>
          <w:rFonts w:eastAsiaTheme="minorHAnsi"/>
          <w:b/>
          <w:bCs/>
          <w:sz w:val="20"/>
          <w:szCs w:val="20"/>
          <w:lang w:val="id-ID"/>
        </w:rPr>
      </w:pPr>
      <w:r w:rsidRPr="00FB7DF6">
        <w:rPr>
          <w:rFonts w:eastAsiaTheme="minorHAnsi"/>
          <w:b/>
          <w:bCs/>
          <w:sz w:val="20"/>
          <w:szCs w:val="20"/>
          <w:lang w:val="id-ID"/>
        </w:rPr>
        <w:t>Table 1. Risk-Based PPE Matrix and Field Compliance</w:t>
      </w:r>
    </w:p>
    <w:tbl>
      <w:tblPr>
        <w:tblW w:w="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1798"/>
        <w:gridCol w:w="1388"/>
        <w:gridCol w:w="2599"/>
        <w:gridCol w:w="3400"/>
      </w:tblGrid>
      <w:tr w:rsidR="00FB7DF6" w:rsidRPr="00FB7DF6" w14:paraId="28801C92" w14:textId="77777777" w:rsidTr="00FB7DF6">
        <w:trPr>
          <w:trHeight w:val="315"/>
        </w:trPr>
        <w:tc>
          <w:tcPr>
            <w:tcW w:w="0" w:type="auto"/>
            <w:tcMar>
              <w:top w:w="30" w:type="dxa"/>
              <w:left w:w="45" w:type="dxa"/>
              <w:bottom w:w="30" w:type="dxa"/>
              <w:right w:w="45" w:type="dxa"/>
            </w:tcMar>
            <w:vAlign w:val="center"/>
            <w:hideMark/>
          </w:tcPr>
          <w:p w14:paraId="7124B613"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Hazard / Risk Factor</w:t>
            </w:r>
          </w:p>
        </w:tc>
        <w:tc>
          <w:tcPr>
            <w:tcW w:w="0" w:type="auto"/>
            <w:tcMar>
              <w:top w:w="30" w:type="dxa"/>
              <w:left w:w="45" w:type="dxa"/>
              <w:bottom w:w="30" w:type="dxa"/>
              <w:right w:w="45" w:type="dxa"/>
            </w:tcMar>
            <w:vAlign w:val="center"/>
            <w:hideMark/>
          </w:tcPr>
          <w:p w14:paraId="2869ED4A"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Required PPE</w:t>
            </w:r>
          </w:p>
        </w:tc>
        <w:tc>
          <w:tcPr>
            <w:tcW w:w="0" w:type="auto"/>
            <w:tcMar>
              <w:top w:w="30" w:type="dxa"/>
              <w:left w:w="45" w:type="dxa"/>
              <w:bottom w:w="30" w:type="dxa"/>
              <w:right w:w="45" w:type="dxa"/>
            </w:tcMar>
            <w:vAlign w:val="center"/>
            <w:hideMark/>
          </w:tcPr>
          <w:p w14:paraId="02C1096D"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Technical Standard / Specification</w:t>
            </w:r>
          </w:p>
        </w:tc>
        <w:tc>
          <w:tcPr>
            <w:tcW w:w="0" w:type="auto"/>
            <w:tcMar>
              <w:top w:w="30" w:type="dxa"/>
              <w:left w:w="0" w:type="dxa"/>
              <w:bottom w:w="30" w:type="dxa"/>
              <w:right w:w="0" w:type="dxa"/>
            </w:tcMar>
            <w:vAlign w:val="center"/>
            <w:hideMark/>
          </w:tcPr>
          <w:p w14:paraId="42935065"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Observed Compliance / Issues</w:t>
            </w:r>
          </w:p>
        </w:tc>
      </w:tr>
      <w:tr w:rsidR="00FB7DF6" w:rsidRPr="00FB7DF6" w14:paraId="69E9A32B" w14:textId="77777777" w:rsidTr="00FB7DF6">
        <w:trPr>
          <w:trHeight w:val="315"/>
        </w:trPr>
        <w:tc>
          <w:tcPr>
            <w:tcW w:w="0" w:type="auto"/>
            <w:tcMar>
              <w:top w:w="30" w:type="dxa"/>
              <w:left w:w="45" w:type="dxa"/>
              <w:bottom w:w="30" w:type="dxa"/>
              <w:right w:w="45" w:type="dxa"/>
            </w:tcMar>
            <w:vAlign w:val="center"/>
            <w:hideMark/>
          </w:tcPr>
          <w:p w14:paraId="55D4CA68"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Falling objects / Structural impact</w:t>
            </w:r>
          </w:p>
        </w:tc>
        <w:tc>
          <w:tcPr>
            <w:tcW w:w="0" w:type="auto"/>
            <w:tcMar>
              <w:top w:w="30" w:type="dxa"/>
              <w:left w:w="45" w:type="dxa"/>
              <w:bottom w:w="30" w:type="dxa"/>
              <w:right w:w="45" w:type="dxa"/>
            </w:tcMar>
            <w:vAlign w:val="center"/>
            <w:hideMark/>
          </w:tcPr>
          <w:p w14:paraId="5F65C88D"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Safety Helmet</w:t>
            </w:r>
          </w:p>
        </w:tc>
        <w:tc>
          <w:tcPr>
            <w:tcW w:w="0" w:type="auto"/>
            <w:tcMar>
              <w:top w:w="30" w:type="dxa"/>
              <w:left w:w="45" w:type="dxa"/>
              <w:bottom w:w="30" w:type="dxa"/>
              <w:right w:w="45" w:type="dxa"/>
            </w:tcMar>
            <w:vAlign w:val="center"/>
            <w:hideMark/>
          </w:tcPr>
          <w:p w14:paraId="5ECBC215"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Impact-resistant; equipped with mandatory chin strap.</w:t>
            </w:r>
          </w:p>
        </w:tc>
        <w:tc>
          <w:tcPr>
            <w:tcW w:w="0" w:type="auto"/>
            <w:tcMar>
              <w:top w:w="30" w:type="dxa"/>
              <w:left w:w="0" w:type="dxa"/>
              <w:bottom w:w="30" w:type="dxa"/>
              <w:right w:w="0" w:type="dxa"/>
            </w:tcMar>
            <w:vAlign w:val="center"/>
            <w:hideMark/>
          </w:tcPr>
          <w:p w14:paraId="49E178F1"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High availability. Issue: Chin straps frequently observed unfastened during tasks.</w:t>
            </w:r>
          </w:p>
        </w:tc>
      </w:tr>
      <w:tr w:rsidR="00FB7DF6" w:rsidRPr="00FB7DF6" w14:paraId="735023E1" w14:textId="77777777" w:rsidTr="00FB7DF6">
        <w:trPr>
          <w:trHeight w:val="315"/>
        </w:trPr>
        <w:tc>
          <w:tcPr>
            <w:tcW w:w="0" w:type="auto"/>
            <w:tcMar>
              <w:top w:w="30" w:type="dxa"/>
              <w:left w:w="45" w:type="dxa"/>
              <w:bottom w:w="30" w:type="dxa"/>
              <w:right w:w="45" w:type="dxa"/>
            </w:tcMar>
            <w:vAlign w:val="center"/>
            <w:hideMark/>
          </w:tcPr>
          <w:p w14:paraId="43259EDC"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Chemical splash / High-velocity dust</w:t>
            </w:r>
          </w:p>
        </w:tc>
        <w:tc>
          <w:tcPr>
            <w:tcW w:w="0" w:type="auto"/>
            <w:tcMar>
              <w:top w:w="30" w:type="dxa"/>
              <w:left w:w="45" w:type="dxa"/>
              <w:bottom w:w="30" w:type="dxa"/>
              <w:right w:w="45" w:type="dxa"/>
            </w:tcMar>
            <w:vAlign w:val="center"/>
            <w:hideMark/>
          </w:tcPr>
          <w:p w14:paraId="154C2987"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Safety Glasses</w:t>
            </w:r>
          </w:p>
        </w:tc>
        <w:tc>
          <w:tcPr>
            <w:tcW w:w="0" w:type="auto"/>
            <w:tcMar>
              <w:top w:w="30" w:type="dxa"/>
              <w:left w:w="45" w:type="dxa"/>
              <w:bottom w:w="30" w:type="dxa"/>
              <w:right w:w="45" w:type="dxa"/>
            </w:tcMar>
            <w:vAlign w:val="center"/>
            <w:hideMark/>
          </w:tcPr>
          <w:p w14:paraId="25E1DE16"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Wrap-around industrial grade.</w:t>
            </w:r>
          </w:p>
        </w:tc>
        <w:tc>
          <w:tcPr>
            <w:tcW w:w="0" w:type="auto"/>
            <w:tcMar>
              <w:top w:w="30" w:type="dxa"/>
              <w:left w:w="0" w:type="dxa"/>
              <w:bottom w:w="30" w:type="dxa"/>
              <w:right w:w="0" w:type="dxa"/>
            </w:tcMar>
            <w:vAlign w:val="center"/>
            <w:hideMark/>
          </w:tcPr>
          <w:p w14:paraId="6511B4C0"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Moderate. Issue: Often removed prematurely due to lens fogging in high humidity.</w:t>
            </w:r>
          </w:p>
        </w:tc>
      </w:tr>
      <w:tr w:rsidR="00FB7DF6" w:rsidRPr="00FB7DF6" w14:paraId="102B20AE" w14:textId="77777777" w:rsidTr="00FB7DF6">
        <w:trPr>
          <w:trHeight w:val="315"/>
        </w:trPr>
        <w:tc>
          <w:tcPr>
            <w:tcW w:w="0" w:type="auto"/>
            <w:tcMar>
              <w:top w:w="30" w:type="dxa"/>
              <w:left w:w="45" w:type="dxa"/>
              <w:bottom w:w="30" w:type="dxa"/>
              <w:right w:w="45" w:type="dxa"/>
            </w:tcMar>
            <w:vAlign w:val="center"/>
            <w:hideMark/>
          </w:tcPr>
          <w:p w14:paraId="647D71C9"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Cryogenic exposure / Flash fire</w:t>
            </w:r>
          </w:p>
        </w:tc>
        <w:tc>
          <w:tcPr>
            <w:tcW w:w="0" w:type="auto"/>
            <w:tcMar>
              <w:top w:w="30" w:type="dxa"/>
              <w:left w:w="45" w:type="dxa"/>
              <w:bottom w:w="30" w:type="dxa"/>
              <w:right w:w="45" w:type="dxa"/>
            </w:tcMar>
            <w:vAlign w:val="center"/>
            <w:hideMark/>
          </w:tcPr>
          <w:p w14:paraId="3B832062"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Flame-Retardant Wearpack</w:t>
            </w:r>
          </w:p>
        </w:tc>
        <w:tc>
          <w:tcPr>
            <w:tcW w:w="0" w:type="auto"/>
            <w:tcMar>
              <w:top w:w="30" w:type="dxa"/>
              <w:left w:w="45" w:type="dxa"/>
              <w:bottom w:w="30" w:type="dxa"/>
              <w:right w:w="45" w:type="dxa"/>
            </w:tcMar>
            <w:vAlign w:val="center"/>
            <w:hideMark/>
          </w:tcPr>
          <w:p w14:paraId="307E2CD0"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Specialized fabric resisting ignition and direct chemical contact.</w:t>
            </w:r>
          </w:p>
        </w:tc>
        <w:tc>
          <w:tcPr>
            <w:tcW w:w="0" w:type="auto"/>
            <w:tcMar>
              <w:top w:w="30" w:type="dxa"/>
              <w:left w:w="0" w:type="dxa"/>
              <w:bottom w:w="30" w:type="dxa"/>
              <w:right w:w="0" w:type="dxa"/>
            </w:tcMar>
            <w:vAlign w:val="center"/>
            <w:hideMark/>
          </w:tcPr>
          <w:p w14:paraId="7389FFE6"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High usage. Issue: Causes severe thermal discomfort (heat exhaustion), leading to improper wear.</w:t>
            </w:r>
          </w:p>
        </w:tc>
      </w:tr>
      <w:tr w:rsidR="00FB7DF6" w:rsidRPr="00FB7DF6" w14:paraId="4654D837" w14:textId="77777777" w:rsidTr="00FB7DF6">
        <w:trPr>
          <w:trHeight w:val="315"/>
        </w:trPr>
        <w:tc>
          <w:tcPr>
            <w:tcW w:w="0" w:type="auto"/>
            <w:tcMar>
              <w:top w:w="30" w:type="dxa"/>
              <w:left w:w="45" w:type="dxa"/>
              <w:bottom w:w="30" w:type="dxa"/>
              <w:right w:w="45" w:type="dxa"/>
            </w:tcMar>
            <w:vAlign w:val="center"/>
            <w:hideMark/>
          </w:tcPr>
          <w:p w14:paraId="61916BEE"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Heavy machinery / Low visibility</w:t>
            </w:r>
          </w:p>
        </w:tc>
        <w:tc>
          <w:tcPr>
            <w:tcW w:w="0" w:type="auto"/>
            <w:tcMar>
              <w:top w:w="30" w:type="dxa"/>
              <w:left w:w="45" w:type="dxa"/>
              <w:bottom w:w="30" w:type="dxa"/>
              <w:right w:w="45" w:type="dxa"/>
            </w:tcMar>
            <w:vAlign w:val="center"/>
            <w:hideMark/>
          </w:tcPr>
          <w:p w14:paraId="22E6768F"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High-Visibility Vest</w:t>
            </w:r>
          </w:p>
        </w:tc>
        <w:tc>
          <w:tcPr>
            <w:tcW w:w="0" w:type="auto"/>
            <w:tcMar>
              <w:top w:w="30" w:type="dxa"/>
              <w:left w:w="45" w:type="dxa"/>
              <w:bottom w:w="30" w:type="dxa"/>
              <w:right w:w="45" w:type="dxa"/>
            </w:tcMar>
            <w:vAlign w:val="center"/>
            <w:hideMark/>
          </w:tcPr>
          <w:p w14:paraId="7E5F1167"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Reflective striping.</w:t>
            </w:r>
          </w:p>
        </w:tc>
        <w:tc>
          <w:tcPr>
            <w:tcW w:w="0" w:type="auto"/>
            <w:tcMar>
              <w:top w:w="30" w:type="dxa"/>
              <w:left w:w="0" w:type="dxa"/>
              <w:bottom w:w="30" w:type="dxa"/>
              <w:right w:w="0" w:type="dxa"/>
            </w:tcMar>
            <w:vAlign w:val="center"/>
            <w:hideMark/>
          </w:tcPr>
          <w:p w14:paraId="202BAB3C"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High compliance among visitors and deck crew.</w:t>
            </w:r>
          </w:p>
        </w:tc>
      </w:tr>
      <w:tr w:rsidR="00FB7DF6" w:rsidRPr="00FB7DF6" w14:paraId="12BFE1E5" w14:textId="77777777" w:rsidTr="00FB7DF6">
        <w:trPr>
          <w:trHeight w:val="315"/>
        </w:trPr>
        <w:tc>
          <w:tcPr>
            <w:tcW w:w="0" w:type="auto"/>
            <w:tcMar>
              <w:top w:w="30" w:type="dxa"/>
              <w:left w:w="45" w:type="dxa"/>
              <w:bottom w:w="30" w:type="dxa"/>
              <w:right w:w="45" w:type="dxa"/>
            </w:tcMar>
            <w:vAlign w:val="center"/>
            <w:hideMark/>
          </w:tcPr>
          <w:p w14:paraId="3FF79165"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Lacerations / Extreme temperatures</w:t>
            </w:r>
          </w:p>
        </w:tc>
        <w:tc>
          <w:tcPr>
            <w:tcW w:w="0" w:type="auto"/>
            <w:tcMar>
              <w:top w:w="30" w:type="dxa"/>
              <w:left w:w="45" w:type="dxa"/>
              <w:bottom w:w="30" w:type="dxa"/>
              <w:right w:w="45" w:type="dxa"/>
            </w:tcMar>
            <w:vAlign w:val="center"/>
            <w:hideMark/>
          </w:tcPr>
          <w:p w14:paraId="17919A3F"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Anti-Slip Safety Gloves</w:t>
            </w:r>
          </w:p>
        </w:tc>
        <w:tc>
          <w:tcPr>
            <w:tcW w:w="0" w:type="auto"/>
            <w:tcMar>
              <w:top w:w="30" w:type="dxa"/>
              <w:left w:w="45" w:type="dxa"/>
              <w:bottom w:w="30" w:type="dxa"/>
              <w:right w:w="45" w:type="dxa"/>
            </w:tcMar>
            <w:vAlign w:val="center"/>
            <w:hideMark/>
          </w:tcPr>
          <w:p w14:paraId="47D73276"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Industrial grade, thermal protection.</w:t>
            </w:r>
          </w:p>
        </w:tc>
        <w:tc>
          <w:tcPr>
            <w:tcW w:w="0" w:type="auto"/>
            <w:tcMar>
              <w:top w:w="30" w:type="dxa"/>
              <w:left w:w="0" w:type="dxa"/>
              <w:bottom w:w="30" w:type="dxa"/>
              <w:right w:w="0" w:type="dxa"/>
            </w:tcMar>
            <w:vAlign w:val="center"/>
            <w:hideMark/>
          </w:tcPr>
          <w:p w14:paraId="25B7AEF6"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High compliance during direct mechanical interaction.</w:t>
            </w:r>
          </w:p>
        </w:tc>
      </w:tr>
      <w:tr w:rsidR="00FB7DF6" w:rsidRPr="00FB7DF6" w14:paraId="25F20433" w14:textId="77777777" w:rsidTr="00FB7DF6">
        <w:trPr>
          <w:trHeight w:val="315"/>
        </w:trPr>
        <w:tc>
          <w:tcPr>
            <w:tcW w:w="0" w:type="auto"/>
            <w:tcMar>
              <w:top w:w="30" w:type="dxa"/>
              <w:left w:w="45" w:type="dxa"/>
              <w:bottom w:w="30" w:type="dxa"/>
              <w:right w:w="45" w:type="dxa"/>
            </w:tcMar>
            <w:vAlign w:val="center"/>
            <w:hideMark/>
          </w:tcPr>
          <w:p w14:paraId="6649CF74"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Crush injuries / Punctures</w:t>
            </w:r>
          </w:p>
        </w:tc>
        <w:tc>
          <w:tcPr>
            <w:tcW w:w="0" w:type="auto"/>
            <w:tcMar>
              <w:top w:w="30" w:type="dxa"/>
              <w:left w:w="45" w:type="dxa"/>
              <w:bottom w:w="30" w:type="dxa"/>
              <w:right w:w="45" w:type="dxa"/>
            </w:tcMar>
            <w:vAlign w:val="center"/>
            <w:hideMark/>
          </w:tcPr>
          <w:p w14:paraId="38A876FF"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Safety Shoes</w:t>
            </w:r>
          </w:p>
        </w:tc>
        <w:tc>
          <w:tcPr>
            <w:tcW w:w="0" w:type="auto"/>
            <w:tcMar>
              <w:top w:w="30" w:type="dxa"/>
              <w:left w:w="45" w:type="dxa"/>
              <w:bottom w:w="30" w:type="dxa"/>
              <w:right w:w="45" w:type="dxa"/>
            </w:tcMar>
            <w:vAlign w:val="center"/>
            <w:hideMark/>
          </w:tcPr>
          <w:p w14:paraId="31E9F705"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Steel-toed, puncture-resistant soles.</w:t>
            </w:r>
          </w:p>
        </w:tc>
        <w:tc>
          <w:tcPr>
            <w:tcW w:w="0" w:type="auto"/>
            <w:tcMar>
              <w:top w:w="30" w:type="dxa"/>
              <w:left w:w="0" w:type="dxa"/>
              <w:bottom w:w="30" w:type="dxa"/>
              <w:right w:w="0" w:type="dxa"/>
            </w:tcMar>
            <w:vAlign w:val="center"/>
            <w:hideMark/>
          </w:tcPr>
          <w:p w14:paraId="77B6413F"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Full compliance; strictly enforced at entry gates.</w:t>
            </w:r>
          </w:p>
        </w:tc>
      </w:tr>
    </w:tbl>
    <w:p w14:paraId="7896F7E7" w14:textId="77777777" w:rsidR="00FB7DF6" w:rsidRDefault="00FB7DF6" w:rsidP="00FB7DF6">
      <w:pPr>
        <w:jc w:val="both"/>
        <w:rPr>
          <w:rFonts w:eastAsiaTheme="minorHAnsi"/>
          <w:b/>
          <w:bCs/>
          <w:sz w:val="20"/>
          <w:szCs w:val="20"/>
          <w:lang w:val="id-ID"/>
        </w:rPr>
        <w:sectPr w:rsidR="00FB7DF6" w:rsidSect="00FB7DF6">
          <w:type w:val="continuous"/>
          <w:pgSz w:w="11907" w:h="16840" w:code="9"/>
          <w:pgMar w:top="1588" w:right="1361" w:bottom="1361" w:left="1361" w:header="720" w:footer="720" w:gutter="0"/>
          <w:cols w:space="720"/>
          <w:docGrid w:linePitch="360"/>
        </w:sectPr>
      </w:pPr>
    </w:p>
    <w:p w14:paraId="4946B25F" w14:textId="77777777" w:rsidR="00FB7DF6" w:rsidRPr="00FB7DF6" w:rsidRDefault="00FB7DF6" w:rsidP="00FB7DF6">
      <w:pPr>
        <w:jc w:val="both"/>
        <w:rPr>
          <w:rFonts w:eastAsiaTheme="minorHAnsi"/>
          <w:sz w:val="20"/>
          <w:szCs w:val="20"/>
          <w:lang w:val="id-ID"/>
        </w:rPr>
      </w:pPr>
    </w:p>
    <w:p w14:paraId="0D3D76CA" w14:textId="77777777" w:rsidR="00FB7DF6" w:rsidRPr="00C560A1" w:rsidRDefault="00FB7DF6" w:rsidP="00FB7DF6">
      <w:pPr>
        <w:jc w:val="both"/>
        <w:rPr>
          <w:rFonts w:eastAsiaTheme="minorHAnsi"/>
          <w:lang w:val="id-ID"/>
        </w:rPr>
      </w:pPr>
      <w:r w:rsidRPr="00C560A1">
        <w:rPr>
          <w:rFonts w:eastAsiaTheme="minorHAnsi"/>
          <w:b/>
          <w:bCs/>
          <w:lang w:val="id-ID"/>
        </w:rPr>
        <w:t>4.4 Operational Constraints: SWOT Analysis</w:t>
      </w:r>
    </w:p>
    <w:p w14:paraId="51B1C0FE" w14:textId="53C31D16" w:rsidR="00FB7DF6" w:rsidRPr="00C560A1" w:rsidRDefault="00FB7DF6" w:rsidP="00C560A1">
      <w:pPr>
        <w:ind w:firstLine="434"/>
        <w:jc w:val="both"/>
        <w:rPr>
          <w:rFonts w:eastAsiaTheme="minorHAnsi"/>
          <w:lang w:val="id-ID"/>
        </w:rPr>
        <w:sectPr w:rsidR="00FB7DF6" w:rsidRPr="00C560A1" w:rsidSect="00FB7DF6">
          <w:type w:val="continuous"/>
          <w:pgSz w:w="11907" w:h="16840" w:code="9"/>
          <w:pgMar w:top="1588" w:right="1361" w:bottom="1361" w:left="1361" w:header="720" w:footer="720" w:gutter="0"/>
          <w:cols w:num="2" w:space="720"/>
          <w:docGrid w:linePitch="360"/>
        </w:sectPr>
      </w:pPr>
      <w:r w:rsidRPr="00C560A1">
        <w:rPr>
          <w:rFonts w:eastAsiaTheme="minorHAnsi"/>
          <w:lang w:val="id-ID"/>
        </w:rPr>
        <w:t>Based on the triangulated data, a formal SWOT matrix (Table 2) was constructed to map the systemic realities of PT X's safety implementation against external pressures.</w:t>
      </w:r>
    </w:p>
    <w:p w14:paraId="05A44CBF" w14:textId="77777777" w:rsidR="00A70F9F" w:rsidRPr="00C560A1" w:rsidRDefault="00A70F9F" w:rsidP="00C560A1">
      <w:pPr>
        <w:rPr>
          <w:rFonts w:eastAsiaTheme="minorHAnsi"/>
          <w:b/>
          <w:bCs/>
          <w:lang w:val="id-ID"/>
        </w:rPr>
      </w:pPr>
    </w:p>
    <w:p w14:paraId="00CF8870" w14:textId="6DD453EB" w:rsidR="00FB7DF6" w:rsidRDefault="00FB7DF6" w:rsidP="00FB7DF6">
      <w:pPr>
        <w:jc w:val="center"/>
        <w:rPr>
          <w:rFonts w:eastAsiaTheme="minorHAnsi"/>
          <w:b/>
          <w:bCs/>
          <w:sz w:val="20"/>
          <w:szCs w:val="20"/>
          <w:lang w:val="id-ID"/>
        </w:rPr>
      </w:pPr>
      <w:r w:rsidRPr="00FB7DF6">
        <w:rPr>
          <w:rFonts w:eastAsiaTheme="minorHAnsi"/>
          <w:b/>
          <w:bCs/>
          <w:sz w:val="20"/>
          <w:szCs w:val="20"/>
          <w:lang w:val="id-ID"/>
        </w:rPr>
        <w:t>Table 2. Formal SWOT Matrix of OSH Implementation at PT X</w:t>
      </w:r>
    </w:p>
    <w:tbl>
      <w:tblPr>
        <w:tblW w:w="0" w:type="dxa"/>
        <w:tblBorders>
          <w:top w:val="single" w:sz="4" w:space="0" w:color="auto"/>
          <w:bottom w:val="single" w:sz="4" w:space="0" w:color="auto"/>
          <w:insideH w:val="single" w:sz="4" w:space="0" w:color="auto"/>
        </w:tblBorders>
        <w:tblCellMar>
          <w:left w:w="0" w:type="dxa"/>
          <w:right w:w="0" w:type="dxa"/>
        </w:tblCellMar>
        <w:tblLook w:val="04A0" w:firstRow="1" w:lastRow="0" w:firstColumn="1" w:lastColumn="0" w:noHBand="0" w:noVBand="1"/>
      </w:tblPr>
      <w:tblGrid>
        <w:gridCol w:w="4525"/>
        <w:gridCol w:w="4660"/>
      </w:tblGrid>
      <w:tr w:rsidR="00FB7DF6" w:rsidRPr="00FB7DF6" w14:paraId="19292979" w14:textId="77777777" w:rsidTr="00A70F9F">
        <w:trPr>
          <w:trHeight w:val="315"/>
        </w:trPr>
        <w:tc>
          <w:tcPr>
            <w:tcW w:w="0" w:type="auto"/>
            <w:tcMar>
              <w:top w:w="30" w:type="dxa"/>
              <w:left w:w="45" w:type="dxa"/>
              <w:bottom w:w="30" w:type="dxa"/>
              <w:right w:w="45" w:type="dxa"/>
            </w:tcMar>
            <w:vAlign w:val="center"/>
            <w:hideMark/>
          </w:tcPr>
          <w:p w14:paraId="419E32FB"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Internal Strengths (S)</w:t>
            </w:r>
          </w:p>
        </w:tc>
        <w:tc>
          <w:tcPr>
            <w:tcW w:w="0" w:type="auto"/>
            <w:tcMar>
              <w:top w:w="30" w:type="dxa"/>
              <w:left w:w="0" w:type="dxa"/>
              <w:bottom w:w="30" w:type="dxa"/>
              <w:right w:w="0" w:type="dxa"/>
            </w:tcMar>
            <w:vAlign w:val="center"/>
            <w:hideMark/>
          </w:tcPr>
          <w:p w14:paraId="6D16A79D"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Internal Weaknesses (W)</w:t>
            </w:r>
          </w:p>
        </w:tc>
      </w:tr>
      <w:tr w:rsidR="00FB7DF6" w:rsidRPr="00FB7DF6" w14:paraId="45A13711" w14:textId="77777777" w:rsidTr="00A70F9F">
        <w:trPr>
          <w:trHeight w:val="315"/>
        </w:trPr>
        <w:tc>
          <w:tcPr>
            <w:tcW w:w="0" w:type="auto"/>
            <w:tcMar>
              <w:top w:w="30" w:type="dxa"/>
              <w:left w:w="45" w:type="dxa"/>
              <w:bottom w:w="30" w:type="dxa"/>
              <w:right w:w="45" w:type="dxa"/>
            </w:tcMar>
            <w:vAlign w:val="center"/>
            <w:hideMark/>
          </w:tcPr>
          <w:p w14:paraId="5B28CEF6"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S1. Comprehensive provisioning of standardized PPE for the workforce.S2. Rigorous daily administrative controls (Fitwork, Toolbox Meetings).S3. Scheduled maintenance and calibration of safety-critical equipment (e.g., gas detectors, harnesses).</w:t>
            </w:r>
          </w:p>
        </w:tc>
        <w:tc>
          <w:tcPr>
            <w:tcW w:w="0" w:type="auto"/>
            <w:tcMar>
              <w:top w:w="30" w:type="dxa"/>
              <w:left w:w="0" w:type="dxa"/>
              <w:bottom w:w="30" w:type="dxa"/>
              <w:right w:w="0" w:type="dxa"/>
            </w:tcMar>
            <w:vAlign w:val="center"/>
            <w:hideMark/>
          </w:tcPr>
          <w:p w14:paraId="4798A290"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W1. Behavioral non-compliance regarding PPE (e.g., unfastened helmets) driven by thermal discomfort and fatigue.W2. Logistical bottleneck in visitor PPE inventory (maximum capacity of 30 sets).W3. Inconsistent enforcement of minor infractions by line supervisors.</w:t>
            </w:r>
          </w:p>
        </w:tc>
      </w:tr>
      <w:tr w:rsidR="00FB7DF6" w:rsidRPr="00FB7DF6" w14:paraId="0EDFAE22" w14:textId="77777777" w:rsidTr="00A70F9F">
        <w:trPr>
          <w:trHeight w:val="315"/>
        </w:trPr>
        <w:tc>
          <w:tcPr>
            <w:tcW w:w="0" w:type="auto"/>
            <w:tcMar>
              <w:top w:w="30" w:type="dxa"/>
              <w:left w:w="45" w:type="dxa"/>
              <w:bottom w:w="30" w:type="dxa"/>
              <w:right w:w="45" w:type="dxa"/>
            </w:tcMar>
            <w:vAlign w:val="center"/>
            <w:hideMark/>
          </w:tcPr>
          <w:p w14:paraId="54CA6F53"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External Opportunities (O)</w:t>
            </w:r>
          </w:p>
        </w:tc>
        <w:tc>
          <w:tcPr>
            <w:tcW w:w="0" w:type="auto"/>
            <w:tcMar>
              <w:top w:w="30" w:type="dxa"/>
              <w:left w:w="0" w:type="dxa"/>
              <w:bottom w:w="30" w:type="dxa"/>
              <w:right w:w="0" w:type="dxa"/>
            </w:tcMar>
            <w:vAlign w:val="center"/>
            <w:hideMark/>
          </w:tcPr>
          <w:p w14:paraId="751DAF6C" w14:textId="77777777" w:rsidR="00FB7DF6" w:rsidRPr="00FB7DF6" w:rsidRDefault="00FB7DF6" w:rsidP="00FB7DF6">
            <w:pPr>
              <w:widowControl/>
              <w:autoSpaceDE/>
              <w:autoSpaceDN/>
              <w:jc w:val="center"/>
              <w:rPr>
                <w:b/>
                <w:bCs/>
                <w:sz w:val="20"/>
                <w:szCs w:val="20"/>
                <w:lang w:val="id-ID" w:eastAsia="id-ID"/>
              </w:rPr>
            </w:pPr>
            <w:r w:rsidRPr="00FB7DF6">
              <w:rPr>
                <w:b/>
                <w:bCs/>
                <w:sz w:val="20"/>
                <w:szCs w:val="20"/>
                <w:lang w:val="id-ID" w:eastAsia="id-ID"/>
              </w:rPr>
              <w:t>External Threats (T)</w:t>
            </w:r>
          </w:p>
        </w:tc>
      </w:tr>
      <w:tr w:rsidR="00FB7DF6" w:rsidRPr="00FB7DF6" w14:paraId="74FAA0D6" w14:textId="77777777" w:rsidTr="00A70F9F">
        <w:trPr>
          <w:trHeight w:val="315"/>
        </w:trPr>
        <w:tc>
          <w:tcPr>
            <w:tcW w:w="0" w:type="auto"/>
            <w:tcMar>
              <w:top w:w="30" w:type="dxa"/>
              <w:left w:w="45" w:type="dxa"/>
              <w:bottom w:w="30" w:type="dxa"/>
              <w:right w:w="45" w:type="dxa"/>
            </w:tcMar>
            <w:vAlign w:val="center"/>
            <w:hideMark/>
          </w:tcPr>
          <w:p w14:paraId="36281768"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O1. Availability of advanced, climate-appropriate flame-retardant materials in the market.O2. Industry trend towards digitalization of safety monitoring (e.g., ATEX-certified wearables).</w:t>
            </w:r>
          </w:p>
        </w:tc>
        <w:tc>
          <w:tcPr>
            <w:tcW w:w="0" w:type="auto"/>
            <w:tcMar>
              <w:top w:w="30" w:type="dxa"/>
              <w:left w:w="0" w:type="dxa"/>
              <w:bottom w:w="30" w:type="dxa"/>
              <w:right w:w="0" w:type="dxa"/>
            </w:tcMar>
            <w:vAlign w:val="center"/>
            <w:hideMark/>
          </w:tcPr>
          <w:p w14:paraId="3B16CE71" w14:textId="77777777" w:rsidR="00FB7DF6" w:rsidRPr="00FB7DF6" w:rsidRDefault="00FB7DF6" w:rsidP="00FB7DF6">
            <w:pPr>
              <w:widowControl/>
              <w:autoSpaceDE/>
              <w:autoSpaceDN/>
              <w:jc w:val="center"/>
              <w:rPr>
                <w:sz w:val="20"/>
                <w:szCs w:val="20"/>
                <w:lang w:val="id-ID" w:eastAsia="id-ID"/>
              </w:rPr>
            </w:pPr>
            <w:r w:rsidRPr="00FB7DF6">
              <w:rPr>
                <w:sz w:val="20"/>
                <w:szCs w:val="20"/>
                <w:lang w:val="id-ID" w:eastAsia="id-ID"/>
              </w:rPr>
              <w:t>T1. External visitors bypassing safety rules due to low risk perception.T2. Ignition risks from non-intrinsically safe consumer electronics (mobile phones) brought by visitors into classified explosive zones.</w:t>
            </w:r>
          </w:p>
        </w:tc>
      </w:tr>
    </w:tbl>
    <w:p w14:paraId="2B45BFEB" w14:textId="77777777" w:rsidR="00FB7DF6" w:rsidRDefault="00FB7DF6" w:rsidP="00FB7DF6">
      <w:pPr>
        <w:jc w:val="both"/>
        <w:rPr>
          <w:rFonts w:eastAsiaTheme="minorHAnsi"/>
          <w:sz w:val="20"/>
          <w:szCs w:val="20"/>
          <w:lang w:val="id-ID"/>
        </w:rPr>
        <w:sectPr w:rsidR="00FB7DF6" w:rsidSect="00FB7DF6">
          <w:type w:val="continuous"/>
          <w:pgSz w:w="11907" w:h="16840" w:code="9"/>
          <w:pgMar w:top="1588" w:right="1361" w:bottom="1361" w:left="1361" w:header="720" w:footer="720" w:gutter="0"/>
          <w:cols w:space="720"/>
          <w:docGrid w:linePitch="360"/>
        </w:sectPr>
      </w:pPr>
    </w:p>
    <w:p w14:paraId="0FB3B993" w14:textId="77777777" w:rsidR="00FB7DF6" w:rsidRPr="00C560A1" w:rsidRDefault="00FB7DF6" w:rsidP="00A70F9F">
      <w:pPr>
        <w:ind w:firstLine="720"/>
        <w:jc w:val="both"/>
        <w:rPr>
          <w:rFonts w:eastAsiaTheme="minorHAnsi"/>
          <w:lang w:val="id-ID"/>
        </w:rPr>
      </w:pPr>
      <w:r w:rsidRPr="00C560A1">
        <w:rPr>
          <w:rFonts w:eastAsiaTheme="minorHAnsi"/>
          <w:b/>
          <w:bCs/>
          <w:lang w:val="id-ID"/>
        </w:rPr>
        <w:t>Analysis of Vulnerabilities:</w:t>
      </w:r>
      <w:r w:rsidRPr="00C560A1">
        <w:rPr>
          <w:rFonts w:eastAsiaTheme="minorHAnsi"/>
          <w:lang w:val="id-ID"/>
        </w:rPr>
        <w:t xml:space="preserve"> The data indicates that non-compliance is rarely malicious. Interview excerpts reveal that employees struggle with the </w:t>
      </w:r>
      <w:r w:rsidRPr="00C560A1">
        <w:rPr>
          <w:rFonts w:eastAsiaTheme="minorHAnsi"/>
          <w:i/>
          <w:iCs/>
          <w:lang w:val="id-ID"/>
        </w:rPr>
        <w:t>Flame-Retardant Wearpacks</w:t>
      </w:r>
      <w:r w:rsidRPr="00C560A1">
        <w:rPr>
          <w:rFonts w:eastAsiaTheme="minorHAnsi"/>
          <w:lang w:val="id-ID"/>
        </w:rPr>
        <w:t xml:space="preserve"> (W1) due to the severe tropical heat, prompting them to unfasten collars or remove helmets to cool down—a classic human-factor failure where comfort competes with safety (Reason, 2016). The most critical threat (T2) stems from visitors. Despite the Safety Induction, visitors frequently attempt to use standard mobile phones for photography in the field. Because the terminal is a classified hazardous area, these non-certified devices can generate electrical arcs, theoretically acting as an ignition source in the presence of an accidental hydrocarbon release. Finally, documentary review of visitor logs revealed group sizes occasionally exceeding 40 individuals, while the facility only holds 30 certified visitor PPE sets (W2). This shortage forces staggered facility tours, disrupting the guiding staff's primary operational schedules. </w:t>
      </w:r>
    </w:p>
    <w:p w14:paraId="7CE2FD10" w14:textId="77777777" w:rsidR="00FB7DF6" w:rsidRPr="00C560A1" w:rsidRDefault="00FB7DF6" w:rsidP="00FB7DF6">
      <w:pPr>
        <w:jc w:val="both"/>
        <w:rPr>
          <w:rFonts w:eastAsiaTheme="minorHAnsi"/>
          <w:lang w:val="id-ID"/>
        </w:rPr>
      </w:pPr>
      <w:r w:rsidRPr="00C560A1">
        <w:rPr>
          <w:rFonts w:eastAsiaTheme="minorHAnsi"/>
          <w:b/>
          <w:bCs/>
          <w:lang w:val="id-ID"/>
        </w:rPr>
        <w:t>4.5 Strategic Mitigation Efforts (TOWS Strategies)</w:t>
      </w:r>
    </w:p>
    <w:p w14:paraId="2B1345A6" w14:textId="77777777" w:rsidR="00FB7DF6" w:rsidRPr="00C560A1" w:rsidRDefault="00FB7DF6" w:rsidP="00FB7DF6">
      <w:pPr>
        <w:ind w:firstLineChars="213" w:firstLine="469"/>
        <w:jc w:val="both"/>
        <w:rPr>
          <w:rFonts w:eastAsiaTheme="minorHAnsi"/>
          <w:lang w:val="id-ID"/>
        </w:rPr>
      </w:pPr>
      <w:r w:rsidRPr="00C560A1">
        <w:rPr>
          <w:rFonts w:eastAsiaTheme="minorHAnsi"/>
          <w:lang w:val="id-ID"/>
        </w:rPr>
        <w:t>To transition from descriptive findings to actionable improvements, the following prioritized strategies are derived directly from the SWOT intersections:</w:t>
      </w:r>
    </w:p>
    <w:p w14:paraId="1D63CE4B" w14:textId="77777777" w:rsidR="00FB7DF6" w:rsidRPr="00C560A1" w:rsidRDefault="00FB7DF6" w:rsidP="00FB7DF6">
      <w:pPr>
        <w:numPr>
          <w:ilvl w:val="0"/>
          <w:numId w:val="27"/>
        </w:numPr>
        <w:tabs>
          <w:tab w:val="clear" w:pos="720"/>
        </w:tabs>
        <w:ind w:left="284" w:hanging="284"/>
        <w:jc w:val="both"/>
        <w:rPr>
          <w:rFonts w:eastAsiaTheme="minorHAnsi"/>
          <w:lang w:val="id-ID"/>
        </w:rPr>
      </w:pPr>
      <w:r w:rsidRPr="00C560A1">
        <w:rPr>
          <w:rFonts w:eastAsiaTheme="minorHAnsi"/>
          <w:lang w:val="id-ID"/>
        </w:rPr>
        <w:t xml:space="preserve">(S-T Strategy) Controlled Device Management Policy: To mitigate visitor electronic threats (T1, T2) using existing supervisory strengths (S2), PT X must enforce a strict physical control policy. Visitors must surrender personal mobile devices to secure lockers at the security post prior to entry. To accommodate the need for documentation, the facility leverages its operational staff to provide photography using internally maintained, ATEX-certified (intrinsically safe) cameras. </w:t>
      </w:r>
    </w:p>
    <w:p w14:paraId="18EDD6AF" w14:textId="77777777" w:rsidR="00FB7DF6" w:rsidRPr="00C560A1" w:rsidRDefault="00FB7DF6" w:rsidP="00FB7DF6">
      <w:pPr>
        <w:numPr>
          <w:ilvl w:val="0"/>
          <w:numId w:val="27"/>
        </w:numPr>
        <w:tabs>
          <w:tab w:val="clear" w:pos="720"/>
        </w:tabs>
        <w:ind w:left="284" w:hanging="284"/>
        <w:jc w:val="both"/>
        <w:rPr>
          <w:rFonts w:eastAsiaTheme="minorHAnsi"/>
          <w:lang w:val="id-ID"/>
        </w:rPr>
      </w:pPr>
      <w:r w:rsidRPr="00C560A1">
        <w:rPr>
          <w:rFonts w:eastAsiaTheme="minorHAnsi"/>
          <w:lang w:val="id-ID"/>
        </w:rPr>
        <w:t xml:space="preserve">(W-O Strategy) Data-Driven Logistical Upgrades: To resolve the visitor bottleneck (W2), management should utilize historical visitor volume data to justify the procurement of additional PPE sets, ensuring inventory comfortably exceeds peak demand. Furthermore, procuring newer, breathable flame-retardant fabrics (O1) can directly address the thermal discomfort driving employee non-compliance (W1). </w:t>
      </w:r>
    </w:p>
    <w:p w14:paraId="7751BD54" w14:textId="77777777" w:rsidR="00FB7DF6" w:rsidRPr="00C560A1" w:rsidRDefault="00FB7DF6" w:rsidP="00FB7DF6">
      <w:pPr>
        <w:numPr>
          <w:ilvl w:val="0"/>
          <w:numId w:val="27"/>
        </w:numPr>
        <w:tabs>
          <w:tab w:val="clear" w:pos="720"/>
        </w:tabs>
        <w:ind w:left="284" w:hanging="284"/>
        <w:jc w:val="both"/>
        <w:rPr>
          <w:rFonts w:eastAsiaTheme="minorHAnsi"/>
          <w:lang w:val="id-ID"/>
        </w:rPr>
      </w:pPr>
      <w:r w:rsidRPr="00C560A1">
        <w:rPr>
          <w:rFonts w:eastAsiaTheme="minorHAnsi"/>
          <w:lang w:val="id-ID"/>
        </w:rPr>
        <w:t xml:space="preserve">(S-W Strategy) Human-Centric Supervision and Culture Building: Relying solely on administrative reprimands is insufficient for behavioral change (W3). Leveraging the daily Toolbox Meetings (S2), PT X should transition from punitive enforcement to peer-based safety observations. Supervisors must be trained to recognize fatigue and heat stress, rotating workers effectively so that PPE compliance does not come at the cost of physical exhaustion. </w:t>
      </w:r>
    </w:p>
    <w:p w14:paraId="0B6710B6" w14:textId="77777777" w:rsidR="00566026" w:rsidRPr="00C560A1" w:rsidRDefault="00566026" w:rsidP="008E3EDC">
      <w:pPr>
        <w:widowControl/>
        <w:adjustRightInd w:val="0"/>
        <w:jc w:val="both"/>
        <w:rPr>
          <w:rFonts w:eastAsiaTheme="minorHAnsi"/>
        </w:rPr>
      </w:pPr>
    </w:p>
    <w:p w14:paraId="7FC71573" w14:textId="1C6243C8" w:rsidR="00502DD8" w:rsidRPr="00C560A1" w:rsidRDefault="008B7F4D" w:rsidP="008B7F4D">
      <w:pPr>
        <w:pStyle w:val="BodyText"/>
        <w:numPr>
          <w:ilvl w:val="0"/>
          <w:numId w:val="5"/>
        </w:numPr>
        <w:ind w:left="426" w:hanging="426"/>
        <w:jc w:val="both"/>
        <w:rPr>
          <w:b/>
        </w:rPr>
      </w:pPr>
      <w:r w:rsidRPr="00C560A1">
        <w:rPr>
          <w:b/>
        </w:rPr>
        <w:t>Conclusion</w:t>
      </w:r>
    </w:p>
    <w:p w14:paraId="4F167BAE" w14:textId="6A398035" w:rsidR="00FB7DF6" w:rsidRPr="00C560A1" w:rsidRDefault="00FB7DF6" w:rsidP="00FB7DF6">
      <w:pPr>
        <w:adjustRightInd w:val="0"/>
        <w:ind w:firstLine="426"/>
        <w:jc w:val="both"/>
        <w:rPr>
          <w:lang w:val="id-ID"/>
        </w:rPr>
      </w:pPr>
      <w:r w:rsidRPr="00C560A1">
        <w:rPr>
          <w:lang w:val="id-ID"/>
        </w:rPr>
        <w:t>Based on the empirical evidence gathered at PT X's LNG terminal, this study concludes that the facility's daily OSH procedures—namely safety inductions, toolbox meetings, and fit-to-work screenings—are robustly structured and consistent with selected core principles of ISO 45001:2018. However, bureaucratic compliance does not fully translate to field execution. The primary constraints identified are human-factor driven: employee PPE non-compliance resulting from thermal discomfort, visitor violations of intrinsically safe electronic policies due to low hazard awareness, and logistical bottlenecks caused by insufficient visitor PPE inventory during peak demand.</w:t>
      </w:r>
    </w:p>
    <w:p w14:paraId="4F93313F" w14:textId="3AF85283" w:rsidR="00566026" w:rsidRPr="00C560A1" w:rsidRDefault="00FB7DF6" w:rsidP="00FB7DF6">
      <w:pPr>
        <w:adjustRightInd w:val="0"/>
        <w:ind w:firstLine="426"/>
        <w:jc w:val="both"/>
        <w:rPr>
          <w:lang w:val="id-ID"/>
        </w:rPr>
      </w:pPr>
      <w:r w:rsidRPr="00C560A1">
        <w:rPr>
          <w:lang w:val="id-ID"/>
        </w:rPr>
        <w:t>To optimize operational integrity, PT X must implement targeted, risk-based interventions. Strategic recommendations include transitioning from mere administrative warnings to physical controls for visitor electronics (mandating secure lockers and providing ATEX-certified cameras), upgrading PPE inventory based on peak-capacity data, and addressing the root causes of employee non-compliance through climate-appropriate gear and fatigue-aware supervision.</w:t>
      </w:r>
    </w:p>
    <w:p w14:paraId="77ED55DE" w14:textId="77777777" w:rsidR="00566026" w:rsidRDefault="00566026" w:rsidP="00143DA1">
      <w:pPr>
        <w:widowControl/>
        <w:adjustRightInd w:val="0"/>
        <w:jc w:val="both"/>
        <w:rPr>
          <w:rFonts w:eastAsiaTheme="minorHAnsi"/>
          <w:b/>
          <w:bCs/>
          <w:color w:val="000000"/>
          <w:sz w:val="20"/>
          <w:szCs w:val="20"/>
        </w:rPr>
      </w:pPr>
    </w:p>
    <w:p w14:paraId="3EB6A321" w14:textId="5CD524B0" w:rsidR="00B251B1" w:rsidRPr="00C560A1" w:rsidRDefault="00502DD8" w:rsidP="00143DA1">
      <w:pPr>
        <w:widowControl/>
        <w:adjustRightInd w:val="0"/>
        <w:jc w:val="both"/>
        <w:rPr>
          <w:rFonts w:eastAsiaTheme="minorHAnsi"/>
        </w:rPr>
      </w:pPr>
      <w:r w:rsidRPr="00C560A1">
        <w:rPr>
          <w:rFonts w:eastAsiaTheme="minorHAnsi"/>
          <w:b/>
          <w:bCs/>
          <w:color w:val="000000"/>
        </w:rPr>
        <w:t xml:space="preserve">References </w:t>
      </w:r>
    </w:p>
    <w:p w14:paraId="1FC326DB" w14:textId="3831926E"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Aini, H. N. (2020). Pengaruh Reward, Keselamatan dan Kesehatan Kerja, dan Lingkungan Kerja Terhadap Kepuasan Kerja. </w:t>
      </w:r>
      <w:r w:rsidRPr="00C560A1">
        <w:rPr>
          <w:rFonts w:eastAsiaTheme="minorHAnsi"/>
          <w:i/>
          <w:iCs/>
          <w:color w:val="000000"/>
          <w:sz w:val="22"/>
          <w:szCs w:val="22"/>
          <w:lang w:val="id-ID"/>
        </w:rPr>
        <w:t>Jurnal Ilmu dan Riset Manajemen</w:t>
      </w:r>
      <w:r w:rsidRPr="00C560A1">
        <w:rPr>
          <w:rFonts w:eastAsiaTheme="minorHAnsi"/>
          <w:color w:val="000000"/>
          <w:sz w:val="22"/>
          <w:szCs w:val="22"/>
          <w:lang w:val="id-ID"/>
        </w:rPr>
        <w:t>, 9(1), 1-20.</w:t>
      </w:r>
    </w:p>
    <w:p w14:paraId="1CB6629F" w14:textId="105F0FF2"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Andaya, R. T. (2023). Fungsi Manajemen Kegiatan Sosial Keagamaan DPC PKB Kabupaten Way Kanan. </w:t>
      </w:r>
      <w:r w:rsidRPr="00C560A1">
        <w:rPr>
          <w:rFonts w:eastAsiaTheme="minorHAnsi"/>
          <w:i/>
          <w:iCs/>
          <w:color w:val="000000"/>
          <w:sz w:val="22"/>
          <w:szCs w:val="22"/>
          <w:lang w:val="id-ID"/>
        </w:rPr>
        <w:t>Jurnal Manajemen</w:t>
      </w:r>
      <w:r w:rsidRPr="00C560A1">
        <w:rPr>
          <w:rFonts w:eastAsiaTheme="minorHAnsi"/>
          <w:color w:val="000000"/>
          <w:sz w:val="22"/>
          <w:szCs w:val="22"/>
          <w:lang w:val="id-ID"/>
        </w:rPr>
        <w:t>, 1-23.</w:t>
      </w:r>
    </w:p>
    <w:p w14:paraId="1BF2370B" w14:textId="2FF910DF"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Asfian, P., Pratiwi, S. T., &amp; Saptaputa, S. K. (2022). Gambaran Penerapan Sistem Manajemen Kesehatan Dan Keselamatan Kerja (SMK3) Di PT Pelindo IV (Persero) Cabang Kendari Tahun 2020. </w:t>
      </w:r>
      <w:r w:rsidRPr="00C560A1">
        <w:rPr>
          <w:rFonts w:eastAsiaTheme="minorHAnsi"/>
          <w:i/>
          <w:iCs/>
          <w:color w:val="000000"/>
          <w:sz w:val="22"/>
          <w:szCs w:val="22"/>
          <w:lang w:val="id-ID"/>
        </w:rPr>
        <w:t>Jurnal Kesehatan dan Keselamatan Kerja Universitas Halu Oleo</w:t>
      </w:r>
      <w:r w:rsidRPr="00C560A1">
        <w:rPr>
          <w:rFonts w:eastAsiaTheme="minorHAnsi"/>
          <w:color w:val="000000"/>
          <w:sz w:val="22"/>
          <w:szCs w:val="22"/>
          <w:lang w:val="id-ID"/>
        </w:rPr>
        <w:t>, 2(3), 99-105.</w:t>
      </w:r>
    </w:p>
    <w:p w14:paraId="36366D33" w14:textId="0D80983B"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Darim, A. (2020). Manajemen Perilaku Organisasi Dalam Mewujudkan Sumber Daya Manusia Yang Kompeten. </w:t>
      </w:r>
      <w:r w:rsidRPr="00C560A1">
        <w:rPr>
          <w:rFonts w:eastAsiaTheme="minorHAnsi"/>
          <w:i/>
          <w:iCs/>
          <w:color w:val="000000"/>
          <w:sz w:val="22"/>
          <w:szCs w:val="22"/>
          <w:lang w:val="id-ID"/>
        </w:rPr>
        <w:t>Munaddhomah: Jurnal Manajemen Pendidikan Islam</w:t>
      </w:r>
      <w:r w:rsidRPr="00C560A1">
        <w:rPr>
          <w:rFonts w:eastAsiaTheme="minorHAnsi"/>
          <w:color w:val="000000"/>
          <w:sz w:val="22"/>
          <w:szCs w:val="22"/>
          <w:lang w:val="id-ID"/>
        </w:rPr>
        <w:t>, 1(1), 22-40.</w:t>
      </w:r>
    </w:p>
    <w:p w14:paraId="61080CF3" w14:textId="445869F8"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Dunan, H., &amp; Angestu, B. (2020). Analisis Strategi Bisnis Dalam Upaya Meningkatkan Penjualan Pada Love Shop Boutique Di Bandar Lampung. </w:t>
      </w:r>
      <w:r w:rsidRPr="00C560A1">
        <w:rPr>
          <w:rFonts w:eastAsiaTheme="minorHAnsi"/>
          <w:i/>
          <w:iCs/>
          <w:color w:val="000000"/>
          <w:sz w:val="22"/>
          <w:szCs w:val="22"/>
          <w:lang w:val="id-ID"/>
        </w:rPr>
        <w:t>Jurnal Manajemen dan Bisnis</w:t>
      </w:r>
      <w:r w:rsidRPr="00C560A1">
        <w:rPr>
          <w:rFonts w:eastAsiaTheme="minorHAnsi"/>
          <w:color w:val="000000"/>
          <w:sz w:val="22"/>
          <w:szCs w:val="22"/>
          <w:lang w:val="id-ID"/>
        </w:rPr>
        <w:t>, 11(1), 53-52.</w:t>
      </w:r>
    </w:p>
    <w:p w14:paraId="0CE5B4CD" w14:textId="41FEDA41"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Government of Indonesia. (2012). </w:t>
      </w:r>
      <w:r w:rsidRPr="00C560A1">
        <w:rPr>
          <w:rFonts w:eastAsiaTheme="minorHAnsi"/>
          <w:i/>
          <w:iCs/>
          <w:color w:val="000000"/>
          <w:sz w:val="22"/>
          <w:szCs w:val="22"/>
          <w:lang w:val="id-ID"/>
        </w:rPr>
        <w:t>Peraturan Pemerintah Republik Indonesia Nomor 50 Tahun 2012 tentang Penerapan Sistem Manajemen Keselamatan dan Kesehatan Kerja</w:t>
      </w:r>
      <w:r w:rsidRPr="00C560A1">
        <w:rPr>
          <w:rFonts w:eastAsiaTheme="minorHAnsi"/>
          <w:color w:val="000000"/>
          <w:sz w:val="22"/>
          <w:szCs w:val="22"/>
          <w:lang w:val="id-ID"/>
        </w:rPr>
        <w:t>.</w:t>
      </w:r>
    </w:p>
    <w:p w14:paraId="6355CCE0" w14:textId="6AD36194"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Hartono, D., Akhmadi, W., Jalali, J., Supiyati, R., &amp; Ummah, S. R. (2023). Sistem Manajemen Pendidikan Modern Guna Pengembangan Pendidikan Di Sekolah. </w:t>
      </w:r>
      <w:r w:rsidRPr="00C560A1">
        <w:rPr>
          <w:rFonts w:eastAsiaTheme="minorHAnsi"/>
          <w:i/>
          <w:iCs/>
          <w:color w:val="000000"/>
          <w:sz w:val="22"/>
          <w:szCs w:val="22"/>
          <w:lang w:val="id-ID"/>
        </w:rPr>
        <w:t>Jurnal Multidisiplin Indonesia</w:t>
      </w:r>
      <w:r w:rsidRPr="00C560A1">
        <w:rPr>
          <w:rFonts w:eastAsiaTheme="minorHAnsi"/>
          <w:color w:val="000000"/>
          <w:sz w:val="22"/>
          <w:szCs w:val="22"/>
          <w:lang w:val="id-ID"/>
        </w:rPr>
        <w:t>, 2(6), 1315-1320.</w:t>
      </w:r>
    </w:p>
    <w:p w14:paraId="6DA19440" w14:textId="0A2F1D6E"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International Labour Organization. (2020). </w:t>
      </w:r>
      <w:r w:rsidRPr="00C560A1">
        <w:rPr>
          <w:rFonts w:eastAsiaTheme="minorHAnsi"/>
          <w:i/>
          <w:iCs/>
          <w:color w:val="000000"/>
          <w:sz w:val="22"/>
          <w:szCs w:val="22"/>
          <w:lang w:val="id-ID"/>
        </w:rPr>
        <w:t>Occupational Safety and Health Management Systems</w:t>
      </w:r>
      <w:r w:rsidRPr="00C560A1">
        <w:rPr>
          <w:rFonts w:eastAsiaTheme="minorHAnsi"/>
          <w:color w:val="000000"/>
          <w:sz w:val="22"/>
          <w:szCs w:val="22"/>
          <w:lang w:val="id-ID"/>
        </w:rPr>
        <w:t>. ILO Guidelines.</w:t>
      </w:r>
    </w:p>
    <w:p w14:paraId="6AC14426" w14:textId="5802CBA0"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International Organization for Standardization. (2018). </w:t>
      </w:r>
      <w:r w:rsidRPr="00C560A1">
        <w:rPr>
          <w:rFonts w:eastAsiaTheme="minorHAnsi"/>
          <w:i/>
          <w:iCs/>
          <w:color w:val="000000"/>
          <w:sz w:val="22"/>
          <w:szCs w:val="22"/>
          <w:lang w:val="id-ID"/>
        </w:rPr>
        <w:t>ISO 45001:2018 Occupational health and safety management systems</w:t>
      </w:r>
      <w:r w:rsidRPr="00C560A1">
        <w:rPr>
          <w:rFonts w:eastAsiaTheme="minorHAnsi"/>
          <w:color w:val="000000"/>
          <w:sz w:val="22"/>
          <w:szCs w:val="22"/>
          <w:lang w:val="id-ID"/>
        </w:rPr>
        <w:t>.</w:t>
      </w:r>
    </w:p>
    <w:p w14:paraId="13604B09" w14:textId="2D0EE8E9"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Khotami, W., &amp; Bahar, R. (2022). Penerapan Sistem Manajemen Keselamatan Dan Kesehatan Kerja Terhadap Kinerja Karyawan PT Pelindo III (Persero) Banjarmasin. </w:t>
      </w:r>
      <w:r w:rsidRPr="00C560A1">
        <w:rPr>
          <w:rFonts w:eastAsiaTheme="minorHAnsi"/>
          <w:i/>
          <w:iCs/>
          <w:color w:val="000000"/>
          <w:sz w:val="22"/>
          <w:szCs w:val="22"/>
          <w:lang w:val="id-ID"/>
        </w:rPr>
        <w:t>Pena Jangkar</w:t>
      </w:r>
      <w:r w:rsidRPr="00C560A1">
        <w:rPr>
          <w:rFonts w:eastAsiaTheme="minorHAnsi"/>
          <w:color w:val="000000"/>
          <w:sz w:val="22"/>
          <w:szCs w:val="22"/>
          <w:lang w:val="id-ID"/>
        </w:rPr>
        <w:t>, 1(2), 28-35.</w:t>
      </w:r>
    </w:p>
    <w:p w14:paraId="702B5AF4" w14:textId="1C5CFA16"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Kurnia, M. B. (2020). Faktor-Faktor Penyebab Rendahnya Penerapan Sistem Manajemen Keselamatan dan Kesehatan Kerja (SMK3) Pada Perusahaan Bidang Pekerjaan Konstruksi. </w:t>
      </w:r>
      <w:r w:rsidRPr="00C560A1">
        <w:rPr>
          <w:rFonts w:eastAsiaTheme="minorHAnsi"/>
          <w:i/>
          <w:iCs/>
          <w:color w:val="000000"/>
          <w:sz w:val="22"/>
          <w:szCs w:val="22"/>
          <w:lang w:val="id-ID"/>
        </w:rPr>
        <w:t>Jurnal Student Teknik Sipil</w:t>
      </w:r>
      <w:r w:rsidRPr="00C560A1">
        <w:rPr>
          <w:rFonts w:eastAsiaTheme="minorHAnsi"/>
          <w:color w:val="000000"/>
          <w:sz w:val="22"/>
          <w:szCs w:val="22"/>
          <w:lang w:val="id-ID"/>
        </w:rPr>
        <w:t>, 2(2), 141-146.</w:t>
      </w:r>
    </w:p>
    <w:p w14:paraId="4A4D35CE" w14:textId="7B0F3A57"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Kurniawan, P., Hariyono, H., &amp; Nofandi, F. (2020). Analisis Kinerja Alarm Kebakaran Untuk Keselamatan Diatas Kapal. </w:t>
      </w:r>
      <w:r w:rsidRPr="00C560A1">
        <w:rPr>
          <w:rFonts w:eastAsiaTheme="minorHAnsi"/>
          <w:i/>
          <w:iCs/>
          <w:color w:val="000000"/>
          <w:sz w:val="22"/>
          <w:szCs w:val="22"/>
          <w:lang w:val="id-ID"/>
        </w:rPr>
        <w:t>Dinamika Bahari</w:t>
      </w:r>
      <w:r w:rsidRPr="00C560A1">
        <w:rPr>
          <w:rFonts w:eastAsiaTheme="minorHAnsi"/>
          <w:color w:val="000000"/>
          <w:sz w:val="22"/>
          <w:szCs w:val="22"/>
          <w:lang w:val="id-ID"/>
        </w:rPr>
        <w:t>, 1(2), 98-103.</w:t>
      </w:r>
    </w:p>
    <w:p w14:paraId="0F1600B9" w14:textId="7EF02F99"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Marisa, H. W., &amp; Munawwaroh, M. (2023). Pengaruh Keselamatan dan Kesehatan Kerja (K3) Terhadap Kinerja Karyawan Pada PT. Altrak 1978 di Kota Sorong. </w:t>
      </w:r>
      <w:r w:rsidRPr="00C560A1">
        <w:rPr>
          <w:rFonts w:eastAsiaTheme="minorHAnsi"/>
          <w:i/>
          <w:iCs/>
          <w:color w:val="000000"/>
          <w:sz w:val="22"/>
          <w:szCs w:val="22"/>
          <w:lang w:val="id-ID"/>
        </w:rPr>
        <w:t>Jurnal Ilmiah Multidisipline</w:t>
      </w:r>
      <w:r w:rsidRPr="00C560A1">
        <w:rPr>
          <w:rFonts w:eastAsiaTheme="minorHAnsi"/>
          <w:color w:val="000000"/>
          <w:sz w:val="22"/>
          <w:szCs w:val="22"/>
          <w:lang w:val="id-ID"/>
        </w:rPr>
        <w:t>, 1(6), 545-659.</w:t>
      </w:r>
    </w:p>
    <w:p w14:paraId="5A26675D" w14:textId="1D06FD88"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Ministry of Public Works. (2014). </w:t>
      </w:r>
      <w:r w:rsidRPr="00C560A1">
        <w:rPr>
          <w:rFonts w:eastAsiaTheme="minorHAnsi"/>
          <w:i/>
          <w:iCs/>
          <w:color w:val="000000"/>
          <w:sz w:val="22"/>
          <w:szCs w:val="22"/>
          <w:lang w:val="id-ID"/>
        </w:rPr>
        <w:t>Peraturan Menteri Pekerjaan Umum No. 05 Tahun 2014</w:t>
      </w:r>
      <w:r w:rsidRPr="00C560A1">
        <w:rPr>
          <w:rFonts w:eastAsiaTheme="minorHAnsi"/>
          <w:color w:val="000000"/>
          <w:sz w:val="22"/>
          <w:szCs w:val="22"/>
          <w:lang w:val="id-ID"/>
        </w:rPr>
        <w:t>.</w:t>
      </w:r>
    </w:p>
    <w:p w14:paraId="0E58306E" w14:textId="6DF16E23"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Nur, J. (2014). Manajemen dan Kepemimpinan Sekolah / Madrasah. </w:t>
      </w:r>
      <w:r w:rsidRPr="00C560A1">
        <w:rPr>
          <w:rFonts w:eastAsiaTheme="minorHAnsi"/>
          <w:i/>
          <w:iCs/>
          <w:color w:val="000000"/>
          <w:sz w:val="22"/>
          <w:szCs w:val="22"/>
          <w:lang w:val="id-ID"/>
        </w:rPr>
        <w:t>Shautut Tarbiyah</w:t>
      </w:r>
      <w:r w:rsidRPr="00C560A1">
        <w:rPr>
          <w:rFonts w:eastAsiaTheme="minorHAnsi"/>
          <w:color w:val="000000"/>
          <w:sz w:val="22"/>
          <w:szCs w:val="22"/>
          <w:lang w:val="id-ID"/>
        </w:rPr>
        <w:t>, 20(86), 97.</w:t>
      </w:r>
    </w:p>
    <w:p w14:paraId="6846B709" w14:textId="42DC5F66"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Nuswantara, M. P., &amp; Wibawa, G. W. (2014). Regasification of LNG (Liquefied Natural Gas). </w:t>
      </w:r>
      <w:r w:rsidRPr="00C560A1">
        <w:rPr>
          <w:rFonts w:eastAsiaTheme="minorHAnsi"/>
          <w:i/>
          <w:iCs/>
          <w:color w:val="000000"/>
          <w:sz w:val="22"/>
          <w:szCs w:val="22"/>
          <w:lang w:val="id-ID"/>
        </w:rPr>
        <w:t>Jurnal Teknik Pomits</w:t>
      </w:r>
      <w:r w:rsidRPr="00C560A1">
        <w:rPr>
          <w:rFonts w:eastAsiaTheme="minorHAnsi"/>
          <w:color w:val="000000"/>
          <w:sz w:val="22"/>
          <w:szCs w:val="22"/>
          <w:lang w:val="id-ID"/>
        </w:rPr>
        <w:t>, 3(2), 149-152.</w:t>
      </w:r>
    </w:p>
    <w:p w14:paraId="2E31B75F" w14:textId="6709E8C5" w:rsidR="00566026" w:rsidRPr="00C560A1" w:rsidRDefault="00566026" w:rsidP="00B46D4D">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Prajudi. (2019). Konsep Sistem dan Prosedur Organisasi. </w:t>
      </w:r>
      <w:r w:rsidRPr="00C560A1">
        <w:rPr>
          <w:rFonts w:eastAsiaTheme="minorHAnsi"/>
          <w:i/>
          <w:iCs/>
          <w:color w:val="000000"/>
          <w:sz w:val="22"/>
          <w:szCs w:val="22"/>
          <w:lang w:val="id-ID"/>
        </w:rPr>
        <w:t>Jurnal Administrasi Bisnis</w:t>
      </w:r>
      <w:r w:rsidRPr="00C560A1">
        <w:rPr>
          <w:rFonts w:eastAsiaTheme="minorHAnsi"/>
          <w:color w:val="000000"/>
          <w:sz w:val="22"/>
          <w:szCs w:val="22"/>
          <w:lang w:val="id-ID"/>
        </w:rPr>
        <w:t>.</w:t>
      </w:r>
    </w:p>
    <w:p w14:paraId="445488A9" w14:textId="416FAD90"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Ramdani, C., Husni, J., Anak, P., &amp; Dini, U. (2024). Manajemen Kelembagaan Di RA Hidayatul Islamiyah Kecamatan Jatisari Kabupaten Karawang. </w:t>
      </w:r>
      <w:r w:rsidRPr="00C560A1">
        <w:rPr>
          <w:rFonts w:eastAsiaTheme="minorHAnsi"/>
          <w:i/>
          <w:iCs/>
          <w:color w:val="000000"/>
          <w:sz w:val="22"/>
          <w:szCs w:val="22"/>
          <w:lang w:val="id-ID"/>
        </w:rPr>
        <w:t>Jurnal Pendidikan</w:t>
      </w:r>
      <w:r w:rsidRPr="00C560A1">
        <w:rPr>
          <w:rFonts w:eastAsiaTheme="minorHAnsi"/>
          <w:color w:val="000000"/>
          <w:sz w:val="22"/>
          <w:szCs w:val="22"/>
          <w:lang w:val="id-ID"/>
        </w:rPr>
        <w:t>, 2(1), 50-56.</w:t>
      </w:r>
    </w:p>
    <w:p w14:paraId="7A0B8A5E" w14:textId="7F956303"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Rani, R. (2020). Perancangan Sistem Informasi Akuntansi Pada Badan Usaha Milik Desa Mitra Sejahtera Ciburial. </w:t>
      </w:r>
      <w:r w:rsidRPr="00C560A1">
        <w:rPr>
          <w:rFonts w:eastAsiaTheme="minorHAnsi"/>
          <w:i/>
          <w:iCs/>
          <w:color w:val="000000"/>
          <w:sz w:val="22"/>
          <w:szCs w:val="22"/>
          <w:lang w:val="id-ID"/>
        </w:rPr>
        <w:t>Jurnal Akuntansi</w:t>
      </w:r>
      <w:r w:rsidRPr="00C560A1">
        <w:rPr>
          <w:rFonts w:eastAsiaTheme="minorHAnsi"/>
          <w:color w:val="000000"/>
          <w:sz w:val="22"/>
          <w:szCs w:val="22"/>
          <w:lang w:val="id-ID"/>
        </w:rPr>
        <w:t>, 1, 6-30.</w:t>
      </w:r>
    </w:p>
    <w:p w14:paraId="27C82339" w14:textId="016C7890"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Sinaga, S., &amp; Gaol, J. L. (2020). Sosialisasi Keselamatan Kerja Di PT. PLN (Persero) Unit Induk Pembangunan II Medan. </w:t>
      </w:r>
      <w:r w:rsidRPr="00C560A1">
        <w:rPr>
          <w:rFonts w:eastAsiaTheme="minorHAnsi"/>
          <w:i/>
          <w:iCs/>
          <w:color w:val="000000"/>
          <w:sz w:val="22"/>
          <w:szCs w:val="22"/>
          <w:lang w:val="id-ID"/>
        </w:rPr>
        <w:t>PKM Maju UDA</w:t>
      </w:r>
      <w:r w:rsidRPr="00C560A1">
        <w:rPr>
          <w:rFonts w:eastAsiaTheme="minorHAnsi"/>
          <w:color w:val="000000"/>
          <w:sz w:val="22"/>
          <w:szCs w:val="22"/>
          <w:lang w:val="id-ID"/>
        </w:rPr>
        <w:t>, 42-45.</w:t>
      </w:r>
    </w:p>
    <w:p w14:paraId="43FC0AE9" w14:textId="68780297"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Sugiyono. (2022). </w:t>
      </w:r>
      <w:r w:rsidRPr="00C560A1">
        <w:rPr>
          <w:rFonts w:eastAsiaTheme="minorHAnsi"/>
          <w:i/>
          <w:iCs/>
          <w:color w:val="000000"/>
          <w:sz w:val="22"/>
          <w:szCs w:val="22"/>
          <w:lang w:val="id-ID"/>
        </w:rPr>
        <w:t>Metode Penelitian Kuantitatif, Kualitatif, dan R&amp;D</w:t>
      </w:r>
      <w:r w:rsidRPr="00C560A1">
        <w:rPr>
          <w:rFonts w:eastAsiaTheme="minorHAnsi"/>
          <w:color w:val="000000"/>
          <w:sz w:val="22"/>
          <w:szCs w:val="22"/>
          <w:lang w:val="id-ID"/>
        </w:rPr>
        <w:t>. Bandung: Alfabeta.</w:t>
      </w:r>
    </w:p>
    <w:p w14:paraId="373B783E" w14:textId="6E496492"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Widodo, N. S. (2015). Pengantar Kesehatan Lingkungan dan Standar WHO. </w:t>
      </w:r>
      <w:r w:rsidRPr="00C560A1">
        <w:rPr>
          <w:rFonts w:eastAsiaTheme="minorHAnsi"/>
          <w:i/>
          <w:iCs/>
          <w:color w:val="000000"/>
          <w:sz w:val="22"/>
          <w:szCs w:val="22"/>
          <w:lang w:val="id-ID"/>
        </w:rPr>
        <w:t>Jurnal Kesehatan</w:t>
      </w:r>
      <w:r w:rsidRPr="00C560A1">
        <w:rPr>
          <w:rFonts w:eastAsiaTheme="minorHAnsi"/>
          <w:color w:val="000000"/>
          <w:sz w:val="22"/>
          <w:szCs w:val="22"/>
          <w:lang w:val="id-ID"/>
        </w:rPr>
        <w:t>, 241.</w:t>
      </w:r>
    </w:p>
    <w:p w14:paraId="7F80B611" w14:textId="6663812F"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Widodo, N. S., &amp; Kristiawan, D. (2020). Implementasi Sistem Manajemen Kesehatan dan Keselamatan Kerja (SMK3) di PT. Pelindo Marine Service. </w:t>
      </w:r>
      <w:r w:rsidRPr="00C560A1">
        <w:rPr>
          <w:rFonts w:eastAsiaTheme="minorHAnsi"/>
          <w:i/>
          <w:iCs/>
          <w:color w:val="000000"/>
          <w:sz w:val="22"/>
          <w:szCs w:val="22"/>
          <w:lang w:val="id-ID"/>
        </w:rPr>
        <w:t>Jurnal Aplikasi Pelayaran dan Kepelabuhanan</w:t>
      </w:r>
      <w:r w:rsidRPr="00C560A1">
        <w:rPr>
          <w:rFonts w:eastAsiaTheme="minorHAnsi"/>
          <w:color w:val="000000"/>
          <w:sz w:val="22"/>
          <w:szCs w:val="22"/>
          <w:lang w:val="id-ID"/>
        </w:rPr>
        <w:t>, 10(2), 113.</w:t>
      </w:r>
    </w:p>
    <w:p w14:paraId="07D59853" w14:textId="3FEEADC5"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Yapan, U. F. (2021). Rancang Bangun Sistem Informasi Pendataan Gaji Pegawai Pada Kodim 0411 Lampung Tengah Berbasis Web. </w:t>
      </w:r>
      <w:r w:rsidRPr="00C560A1">
        <w:rPr>
          <w:rFonts w:eastAsiaTheme="minorHAnsi"/>
          <w:i/>
          <w:iCs/>
          <w:color w:val="000000"/>
          <w:sz w:val="22"/>
          <w:szCs w:val="22"/>
          <w:lang w:val="id-ID"/>
        </w:rPr>
        <w:t>Jurnal Alih Teknologi Sistem Informasi (JATSI)</w:t>
      </w:r>
      <w:r w:rsidRPr="00C560A1">
        <w:rPr>
          <w:rFonts w:eastAsiaTheme="minorHAnsi"/>
          <w:color w:val="000000"/>
          <w:sz w:val="22"/>
          <w:szCs w:val="22"/>
          <w:lang w:val="id-ID"/>
        </w:rPr>
        <w:t>, 1(2).</w:t>
      </w:r>
    </w:p>
    <w:p w14:paraId="28415C14" w14:textId="471F3890" w:rsidR="00566026" w:rsidRPr="00C560A1" w:rsidRDefault="00566026" w:rsidP="00566026">
      <w:pPr>
        <w:pStyle w:val="NormalWeb"/>
        <w:spacing w:before="0" w:beforeAutospacing="0" w:after="0" w:afterAutospacing="0"/>
        <w:ind w:left="312" w:hangingChars="142" w:hanging="312"/>
        <w:jc w:val="both"/>
        <w:rPr>
          <w:rFonts w:eastAsiaTheme="minorHAnsi"/>
          <w:color w:val="000000"/>
          <w:sz w:val="22"/>
          <w:szCs w:val="22"/>
          <w:lang w:val="id-ID"/>
        </w:rPr>
      </w:pPr>
      <w:r w:rsidRPr="00C560A1">
        <w:rPr>
          <w:rFonts w:eastAsiaTheme="minorHAnsi"/>
          <w:color w:val="000000"/>
          <w:sz w:val="22"/>
          <w:szCs w:val="22"/>
          <w:lang w:val="id-ID"/>
        </w:rPr>
        <w:t xml:space="preserve">Yuliarti, I., Jaya, A. S., &amp; Herawati, H. (2022). Pelatihan Batik Cap Dalam Rangka Meningkatkan Kreativitas Pengunjung Rumah Batik Komar Kota Bandung. </w:t>
      </w:r>
      <w:r w:rsidRPr="00C560A1">
        <w:rPr>
          <w:rFonts w:eastAsiaTheme="minorHAnsi"/>
          <w:i/>
          <w:iCs/>
          <w:color w:val="000000"/>
          <w:sz w:val="22"/>
          <w:szCs w:val="22"/>
          <w:lang w:val="id-ID"/>
        </w:rPr>
        <w:t>Jurnal Dehasen Mengabdi</w:t>
      </w:r>
      <w:r w:rsidRPr="00C560A1">
        <w:rPr>
          <w:rFonts w:eastAsiaTheme="minorHAnsi"/>
          <w:color w:val="000000"/>
          <w:sz w:val="22"/>
          <w:szCs w:val="22"/>
          <w:lang w:val="id-ID"/>
        </w:rPr>
        <w:t>, 1(2), 105-114.</w:t>
      </w:r>
    </w:p>
    <w:p w14:paraId="6E764062" w14:textId="68AC04EB" w:rsidR="00566026" w:rsidRPr="00566026" w:rsidRDefault="00566026" w:rsidP="00566026">
      <w:pPr>
        <w:pStyle w:val="NormalWeb"/>
        <w:spacing w:before="0" w:beforeAutospacing="0" w:after="0" w:afterAutospacing="0"/>
        <w:ind w:left="312" w:hangingChars="142" w:hanging="312"/>
        <w:jc w:val="both"/>
        <w:rPr>
          <w:rFonts w:eastAsiaTheme="minorHAnsi"/>
          <w:color w:val="000000"/>
          <w:sz w:val="20"/>
          <w:szCs w:val="20"/>
          <w:lang w:val="id-ID"/>
        </w:rPr>
      </w:pPr>
      <w:r w:rsidRPr="00C560A1">
        <w:rPr>
          <w:rFonts w:eastAsiaTheme="minorHAnsi"/>
          <w:color w:val="000000"/>
          <w:sz w:val="22"/>
          <w:szCs w:val="22"/>
          <w:lang w:val="id-ID"/>
        </w:rPr>
        <w:t xml:space="preserve">Yusra, Z., Zulkarnain, R., &amp; Sofino, S. (2021). Pengelolaan LKP Pada Masa Pendemik Covid-19. </w:t>
      </w:r>
      <w:r w:rsidRPr="00C560A1">
        <w:rPr>
          <w:rFonts w:eastAsiaTheme="minorHAnsi"/>
          <w:i/>
          <w:iCs/>
          <w:color w:val="000000"/>
          <w:sz w:val="22"/>
          <w:szCs w:val="22"/>
          <w:lang w:val="id-ID"/>
        </w:rPr>
        <w:t>Journal Of Lifelong Learning</w:t>
      </w:r>
      <w:r w:rsidRPr="00C560A1">
        <w:rPr>
          <w:rFonts w:eastAsiaTheme="minorHAnsi"/>
          <w:color w:val="000000"/>
          <w:sz w:val="22"/>
          <w:szCs w:val="22"/>
          <w:lang w:val="id-ID"/>
        </w:rPr>
        <w:t>, 4(1), 15-22.</w:t>
      </w:r>
    </w:p>
    <w:p w14:paraId="1396BB04" w14:textId="77777777" w:rsidR="00566026" w:rsidRPr="00143DA1" w:rsidRDefault="00566026" w:rsidP="00566026">
      <w:pPr>
        <w:pStyle w:val="NormalWeb"/>
        <w:spacing w:before="0" w:beforeAutospacing="0" w:after="0" w:afterAutospacing="0"/>
        <w:ind w:left="284" w:hangingChars="142" w:hanging="284"/>
        <w:jc w:val="both"/>
        <w:rPr>
          <w:rFonts w:eastAsiaTheme="minorHAnsi"/>
          <w:color w:val="000000"/>
          <w:sz w:val="20"/>
          <w:szCs w:val="20"/>
          <w:lang w:val="id-ID"/>
        </w:rPr>
      </w:pPr>
    </w:p>
    <w:sectPr w:rsidR="00566026" w:rsidRPr="00143DA1" w:rsidSect="00C560A1">
      <w:type w:val="continuous"/>
      <w:pgSz w:w="11907" w:h="16840" w:code="9"/>
      <w:pgMar w:top="1588" w:right="1361" w:bottom="1361" w:left="1361" w:header="720" w:footer="487"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D18125" w14:textId="77777777" w:rsidR="008B7297" w:rsidRDefault="008B7297" w:rsidP="00502DD8">
      <w:r>
        <w:separator/>
      </w:r>
    </w:p>
  </w:endnote>
  <w:endnote w:type="continuationSeparator" w:id="0">
    <w:p w14:paraId="423DA450" w14:textId="77777777" w:rsidR="008B7297" w:rsidRDefault="008B7297" w:rsidP="00502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7636251"/>
      <w:docPartObj>
        <w:docPartGallery w:val="Page Numbers (Bottom of Page)"/>
        <w:docPartUnique/>
      </w:docPartObj>
    </w:sdtPr>
    <w:sdtEndPr>
      <w:rPr>
        <w:noProof/>
      </w:rPr>
    </w:sdtEndPr>
    <w:sdtContent>
      <w:p w14:paraId="3CA590BE" w14:textId="2769E6FF" w:rsidR="00205D2D" w:rsidRDefault="00205D2D" w:rsidP="00205D2D">
        <w:pPr>
          <w:pStyle w:val="Footer"/>
          <w:tabs>
            <w:tab w:val="clear" w:pos="4680"/>
            <w:tab w:val="clear" w:pos="9360"/>
            <w:tab w:val="left" w:pos="2268"/>
            <w:tab w:val="center" w:pos="4111"/>
          </w:tabs>
          <w:ind w:right="-29"/>
          <w:rPr>
            <w:rFonts w:ascii="Garamond" w:eastAsiaTheme="minorHAnsi" w:hAnsi="Garamond" w:cs="Garamond"/>
            <w:color w:val="000000"/>
            <w:sz w:val="18"/>
            <w:szCs w:val="18"/>
          </w:rPr>
        </w:pPr>
        <w:r w:rsidRPr="00205D2D">
          <w:rPr>
            <w:rFonts w:ascii="Garamond" w:eastAsiaTheme="minorHAnsi" w:hAnsi="Garamond" w:cs="Garamond"/>
            <w:noProof/>
            <w:color w:val="000000"/>
            <w:sz w:val="18"/>
            <w:szCs w:val="18"/>
          </w:rPr>
          <mc:AlternateContent>
            <mc:Choice Requires="wps">
              <w:drawing>
                <wp:anchor distT="45720" distB="45720" distL="114300" distR="114300" simplePos="0" relativeHeight="251659264" behindDoc="0" locked="0" layoutInCell="1" allowOverlap="1" wp14:anchorId="07B7FEB5" wp14:editId="5D12E1E9">
                  <wp:simplePos x="0" y="0"/>
                  <wp:positionH relativeFrom="page">
                    <wp:posOffset>2569845</wp:posOffset>
                  </wp:positionH>
                  <wp:positionV relativeFrom="paragraph">
                    <wp:posOffset>-10160</wp:posOffset>
                  </wp:positionV>
                  <wp:extent cx="4543425" cy="1404620"/>
                  <wp:effectExtent l="0" t="0" r="0" b="444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3425" cy="1404620"/>
                          </a:xfrm>
                          <a:prstGeom prst="rect">
                            <a:avLst/>
                          </a:prstGeom>
                          <a:noFill/>
                          <a:ln w="9525">
                            <a:noFill/>
                            <a:miter lim="800000"/>
                            <a:headEnd/>
                            <a:tailEnd/>
                          </a:ln>
                        </wps:spPr>
                        <wps:txbx>
                          <w:txbxContent>
                            <w:p w14:paraId="238A338F" w14:textId="03A8593A" w:rsidR="00205D2D" w:rsidRDefault="00205D2D">
                              <w:pPr>
                                <w:rPr>
                                  <w:rFonts w:ascii="Garamond" w:eastAsiaTheme="minorHAnsi" w:hAnsi="Garamond" w:cs="Garamond"/>
                                  <w:b/>
                                  <w:bCs/>
                                  <w:color w:val="000000"/>
                                  <w:sz w:val="18"/>
                                  <w:szCs w:val="18"/>
                                </w:rPr>
                              </w:pPr>
                              <w:r w:rsidRPr="00205D2D">
                                <w:rPr>
                                  <w:rFonts w:ascii="Garamond" w:eastAsiaTheme="minorHAnsi" w:hAnsi="Garamond" w:cs="Garamond"/>
                                  <w:b/>
                                  <w:bCs/>
                                  <w:color w:val="000000"/>
                                  <w:sz w:val="18"/>
                                  <w:szCs w:val="18"/>
                                </w:rPr>
                                <w:t>JOURNAL OF ENGINEERING SCIENCE AND TECHNOLOGY MANAGEMENT</w:t>
                              </w:r>
                            </w:p>
                            <w:p w14:paraId="6C73A90F" w14:textId="259D7CCD" w:rsidR="00205D2D" w:rsidRPr="00205D2D" w:rsidRDefault="00205D2D" w:rsidP="00205D2D">
                              <w:pPr>
                                <w:ind w:left="2160" w:firstLine="1668"/>
                                <w:rPr>
                                  <w:b/>
                                  <w:bCs/>
                                </w:rPr>
                              </w:pPr>
                              <w:r>
                                <w:rPr>
                                  <w:rFonts w:ascii="Garamond" w:eastAsiaTheme="minorHAnsi" w:hAnsi="Garamond" w:cs="Garamond"/>
                                  <w:color w:val="000000"/>
                                  <w:sz w:val="18"/>
                                  <w:szCs w:val="18"/>
                                </w:rPr>
                                <w:t xml:space="preserve">Volume </w:t>
                              </w:r>
                              <w:r w:rsidR="004F40F5">
                                <w:rPr>
                                  <w:rFonts w:ascii="Garamond" w:eastAsiaTheme="minorHAnsi" w:hAnsi="Garamond" w:cs="Garamond"/>
                                  <w:color w:val="000000"/>
                                  <w:sz w:val="18"/>
                                  <w:szCs w:val="18"/>
                                </w:rPr>
                                <w:t>6</w:t>
                              </w:r>
                              <w:r>
                                <w:rPr>
                                  <w:rFonts w:ascii="Garamond" w:eastAsiaTheme="minorHAnsi" w:hAnsi="Garamond" w:cs="Garamond"/>
                                  <w:color w:val="000000"/>
                                  <w:sz w:val="18"/>
                                  <w:szCs w:val="18"/>
                                </w:rPr>
                                <w:t xml:space="preserve"> Issue </w:t>
                              </w:r>
                              <w:r w:rsidR="004F40F5">
                                <w:rPr>
                                  <w:rFonts w:ascii="Garamond" w:eastAsiaTheme="minorHAnsi" w:hAnsi="Garamond" w:cs="Garamond"/>
                                  <w:color w:val="000000"/>
                                  <w:sz w:val="18"/>
                                  <w:szCs w:val="18"/>
                                </w:rPr>
                                <w:t>2</w:t>
                              </w:r>
                              <w:r>
                                <w:rPr>
                                  <w:rFonts w:ascii="Garamond" w:eastAsiaTheme="minorHAnsi" w:hAnsi="Garamond" w:cs="Garamond"/>
                                  <w:color w:val="000000"/>
                                  <w:sz w:val="18"/>
                                  <w:szCs w:val="18"/>
                                </w:rPr>
                                <w:t xml:space="preserve">, ISSN </w:t>
                              </w:r>
                              <w:r w:rsidR="001D42D1" w:rsidRPr="001D42D1">
                                <w:rPr>
                                  <w:rFonts w:ascii="Garamond" w:eastAsiaTheme="minorHAnsi" w:hAnsi="Garamond" w:cs="Garamond"/>
                                  <w:color w:val="000000"/>
                                  <w:sz w:val="18"/>
                                  <w:szCs w:val="18"/>
                                </w:rPr>
                                <w:t xml:space="preserve"> 2828 -7886</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7B7FEB5" id="_x0000_t202" coordsize="21600,21600" o:spt="202" path="m,l,21600r21600,l21600,xe">
                  <v:stroke joinstyle="miter"/>
                  <v:path gradientshapeok="t" o:connecttype="rect"/>
                </v:shapetype>
                <v:shape id="Text Box 2" o:spid="_x0000_s1027" type="#_x0000_t202" style="position:absolute;margin-left:202.35pt;margin-top:-.8pt;width:357.75pt;height:110.6pt;z-index:251659264;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" filled="f" stroked="f">
                  <v:textbox style="mso-fit-shape-to-text:t">
                    <w:txbxContent>
                      <w:p w14:paraId="238A338F" w14:textId="03A8593A" w:rsidR="00205D2D" w:rsidRDefault="00205D2D">
                        <w:pPr>
                          <w:rPr>
                            <w:rFonts w:ascii="Garamond" w:eastAsiaTheme="minorHAnsi" w:hAnsi="Garamond" w:cs="Garamond"/>
                            <w:b/>
                            <w:bCs/>
                            <w:color w:val="000000"/>
                            <w:sz w:val="18"/>
                            <w:szCs w:val="18"/>
                          </w:rPr>
                        </w:pPr>
                        <w:r w:rsidRPr="00205D2D">
                          <w:rPr>
                            <w:rFonts w:ascii="Garamond" w:eastAsiaTheme="minorHAnsi" w:hAnsi="Garamond" w:cs="Garamond"/>
                            <w:b/>
                            <w:bCs/>
                            <w:color w:val="000000"/>
                            <w:sz w:val="18"/>
                            <w:szCs w:val="18"/>
                          </w:rPr>
                          <w:t>JOURNAL OF ENGINEERING SCIENCE AND TECHNOLOGY MANAGEMENT</w:t>
                        </w:r>
                      </w:p>
                      <w:p w14:paraId="6C73A90F" w14:textId="259D7CCD" w:rsidR="00205D2D" w:rsidRPr="00205D2D" w:rsidRDefault="00205D2D" w:rsidP="00205D2D">
                        <w:pPr>
                          <w:ind w:left="2160" w:firstLine="1668"/>
                          <w:rPr>
                            <w:b/>
                            <w:bCs/>
                          </w:rPr>
                        </w:pPr>
                        <w:r>
                          <w:rPr>
                            <w:rFonts w:ascii="Garamond" w:eastAsiaTheme="minorHAnsi" w:hAnsi="Garamond" w:cs="Garamond"/>
                            <w:color w:val="000000"/>
                            <w:sz w:val="18"/>
                            <w:szCs w:val="18"/>
                          </w:rPr>
                          <w:t xml:space="preserve">Volume </w:t>
                        </w:r>
                        <w:r w:rsidR="004F40F5">
                          <w:rPr>
                            <w:rFonts w:ascii="Garamond" w:eastAsiaTheme="minorHAnsi" w:hAnsi="Garamond" w:cs="Garamond"/>
                            <w:color w:val="000000"/>
                            <w:sz w:val="18"/>
                            <w:szCs w:val="18"/>
                          </w:rPr>
                          <w:t>6</w:t>
                        </w:r>
                        <w:r>
                          <w:rPr>
                            <w:rFonts w:ascii="Garamond" w:eastAsiaTheme="minorHAnsi" w:hAnsi="Garamond" w:cs="Garamond"/>
                            <w:color w:val="000000"/>
                            <w:sz w:val="18"/>
                            <w:szCs w:val="18"/>
                          </w:rPr>
                          <w:t xml:space="preserve"> Issue </w:t>
                        </w:r>
                        <w:r w:rsidR="004F40F5">
                          <w:rPr>
                            <w:rFonts w:ascii="Garamond" w:eastAsiaTheme="minorHAnsi" w:hAnsi="Garamond" w:cs="Garamond"/>
                            <w:color w:val="000000"/>
                            <w:sz w:val="18"/>
                            <w:szCs w:val="18"/>
                          </w:rPr>
                          <w:t>2</w:t>
                        </w:r>
                        <w:r>
                          <w:rPr>
                            <w:rFonts w:ascii="Garamond" w:eastAsiaTheme="minorHAnsi" w:hAnsi="Garamond" w:cs="Garamond"/>
                            <w:color w:val="000000"/>
                            <w:sz w:val="18"/>
                            <w:szCs w:val="18"/>
                          </w:rPr>
                          <w:t xml:space="preserve">, ISSN </w:t>
                        </w:r>
                        <w:r w:rsidR="001D42D1" w:rsidRPr="001D42D1">
                          <w:rPr>
                            <w:rFonts w:ascii="Garamond" w:eastAsiaTheme="minorHAnsi" w:hAnsi="Garamond" w:cs="Garamond"/>
                            <w:color w:val="000000"/>
                            <w:sz w:val="18"/>
                            <w:szCs w:val="18"/>
                          </w:rPr>
                          <w:t xml:space="preserve"> 2828 -7886</w:t>
                        </w:r>
                      </w:p>
                    </w:txbxContent>
                  </v:textbox>
                  <w10:wrap type="square" anchorx="page"/>
                </v:shape>
              </w:pict>
            </mc:Fallback>
          </mc:AlternateContent>
        </w:r>
        <w:r w:rsidR="00502DD8">
          <w:fldChar w:fldCharType="begin"/>
        </w:r>
        <w:r w:rsidR="00502DD8">
          <w:instrText xml:space="preserve"> PAGE   \* MERGEFORMAT </w:instrText>
        </w:r>
        <w:r w:rsidR="00502DD8">
          <w:fldChar w:fldCharType="separate"/>
        </w:r>
        <w:r w:rsidR="00502DD8">
          <w:rPr>
            <w:noProof/>
          </w:rPr>
          <w:t>2</w:t>
        </w:r>
        <w:r w:rsidR="00502DD8">
          <w:rPr>
            <w:noProof/>
          </w:rPr>
          <w:fldChar w:fldCharType="end"/>
        </w:r>
      </w:p>
      <w:p w14:paraId="1CD154D0" w14:textId="1B264D23" w:rsidR="00502DD8" w:rsidRDefault="00205D2D" w:rsidP="00205D2D">
        <w:pPr>
          <w:pStyle w:val="Footer"/>
          <w:tabs>
            <w:tab w:val="clear" w:pos="4680"/>
          </w:tabs>
        </w:pPr>
        <w:r>
          <w:rPr>
            <w:rFonts w:ascii="Garamond" w:eastAsiaTheme="minorHAnsi" w:hAnsi="Garamond" w:cs="Garamond"/>
            <w:color w:val="000000"/>
            <w:sz w:val="18"/>
            <w:szCs w:val="18"/>
          </w:rPr>
          <w:tab/>
        </w:r>
      </w:p>
    </w:sdtContent>
  </w:sdt>
  <w:p w14:paraId="792B075D" w14:textId="500EF1C2" w:rsidR="00502DD8" w:rsidRDefault="00502D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E7B2E5" w14:textId="77777777" w:rsidR="008B7297" w:rsidRDefault="008B7297" w:rsidP="00502DD8">
      <w:r>
        <w:separator/>
      </w:r>
    </w:p>
  </w:footnote>
  <w:footnote w:type="continuationSeparator" w:id="0">
    <w:p w14:paraId="1579D37A" w14:textId="77777777" w:rsidR="008B7297" w:rsidRDefault="008B7297" w:rsidP="00502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36627"/>
    <w:multiLevelType w:val="multilevel"/>
    <w:tmpl w:val="52E0D3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D22CDD"/>
    <w:multiLevelType w:val="multilevel"/>
    <w:tmpl w:val="AF6403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1713A5"/>
    <w:multiLevelType w:val="multilevel"/>
    <w:tmpl w:val="BEBEF442"/>
    <w:lvl w:ilvl="0">
      <w:start w:val="1"/>
      <w:numFmt w:val="decimal"/>
      <w:lvlText w:val="%1.1"/>
      <w:lvlJc w:val="left"/>
      <w:pPr>
        <w:ind w:left="467" w:hanging="360"/>
      </w:pPr>
      <w:rPr>
        <w:rFonts w:hint="default"/>
        <w:b/>
        <w:bCs/>
        <w:w w:val="87"/>
        <w:sz w:val="20"/>
        <w:szCs w:val="20"/>
        <w:lang w:val="en-US" w:eastAsia="en-US" w:bidi="ar-SA"/>
      </w:rPr>
    </w:lvl>
    <w:lvl w:ilvl="1">
      <w:start w:val="1"/>
      <w:numFmt w:val="decimal"/>
      <w:lvlText w:val="%1.%2."/>
      <w:lvlJc w:val="left"/>
      <w:pPr>
        <w:ind w:left="539" w:hanging="432"/>
      </w:pPr>
      <w:rPr>
        <w:rFonts w:ascii="Times New Roman" w:eastAsia="Times New Roman" w:hAnsi="Times New Roman" w:cs="Times New Roman" w:hint="default"/>
        <w:b/>
        <w:bCs/>
        <w:spacing w:val="-1"/>
        <w:w w:val="92"/>
        <w:sz w:val="22"/>
        <w:szCs w:val="22"/>
        <w:lang w:val="en-US" w:eastAsia="en-US" w:bidi="ar-SA"/>
      </w:rPr>
    </w:lvl>
    <w:lvl w:ilvl="2">
      <w:start w:val="1"/>
      <w:numFmt w:val="decimal"/>
      <w:lvlText w:val="%1.%2.%3."/>
      <w:lvlJc w:val="left"/>
      <w:pPr>
        <w:ind w:left="685" w:hanging="576"/>
      </w:pPr>
      <w:rPr>
        <w:rFonts w:ascii="Times New Roman" w:eastAsia="Times New Roman" w:hAnsi="Times New Roman" w:cs="Times New Roman" w:hint="default"/>
        <w:spacing w:val="-1"/>
        <w:w w:val="91"/>
        <w:sz w:val="22"/>
        <w:szCs w:val="22"/>
        <w:lang w:val="en-US" w:eastAsia="en-US" w:bidi="ar-SA"/>
      </w:rPr>
    </w:lvl>
    <w:lvl w:ilvl="3">
      <w:start w:val="1"/>
      <w:numFmt w:val="decimal"/>
      <w:lvlText w:val="%1.%2.%3.%4."/>
      <w:lvlJc w:val="left"/>
      <w:pPr>
        <w:ind w:left="817" w:hanging="709"/>
      </w:pPr>
      <w:rPr>
        <w:rFonts w:ascii="Times New Roman" w:eastAsia="Times New Roman" w:hAnsi="Times New Roman" w:cs="Times New Roman" w:hint="default"/>
        <w:spacing w:val="-1"/>
        <w:w w:val="91"/>
        <w:sz w:val="22"/>
        <w:szCs w:val="22"/>
        <w:lang w:val="en-US" w:eastAsia="en-US" w:bidi="ar-SA"/>
      </w:rPr>
    </w:lvl>
    <w:lvl w:ilvl="4">
      <w:numFmt w:val="bullet"/>
      <w:lvlText w:val="•"/>
      <w:lvlJc w:val="left"/>
      <w:pPr>
        <w:ind w:left="1424" w:hanging="709"/>
      </w:pPr>
      <w:rPr>
        <w:rFonts w:hint="default"/>
        <w:lang w:val="en-US" w:eastAsia="en-US" w:bidi="ar-SA"/>
      </w:rPr>
    </w:lvl>
    <w:lvl w:ilvl="5">
      <w:numFmt w:val="bullet"/>
      <w:lvlText w:val="•"/>
      <w:lvlJc w:val="left"/>
      <w:pPr>
        <w:ind w:left="2028" w:hanging="709"/>
      </w:pPr>
      <w:rPr>
        <w:rFonts w:hint="default"/>
        <w:lang w:val="en-US" w:eastAsia="en-US" w:bidi="ar-SA"/>
      </w:rPr>
    </w:lvl>
    <w:lvl w:ilvl="6">
      <w:numFmt w:val="bullet"/>
      <w:lvlText w:val="•"/>
      <w:lvlJc w:val="left"/>
      <w:pPr>
        <w:ind w:left="2632" w:hanging="709"/>
      </w:pPr>
      <w:rPr>
        <w:rFonts w:hint="default"/>
        <w:lang w:val="en-US" w:eastAsia="en-US" w:bidi="ar-SA"/>
      </w:rPr>
    </w:lvl>
    <w:lvl w:ilvl="7">
      <w:numFmt w:val="bullet"/>
      <w:lvlText w:val="•"/>
      <w:lvlJc w:val="left"/>
      <w:pPr>
        <w:ind w:left="3236" w:hanging="709"/>
      </w:pPr>
      <w:rPr>
        <w:rFonts w:hint="default"/>
        <w:lang w:val="en-US" w:eastAsia="en-US" w:bidi="ar-SA"/>
      </w:rPr>
    </w:lvl>
    <w:lvl w:ilvl="8">
      <w:numFmt w:val="bullet"/>
      <w:lvlText w:val="•"/>
      <w:lvlJc w:val="left"/>
      <w:pPr>
        <w:ind w:left="3840" w:hanging="709"/>
      </w:pPr>
      <w:rPr>
        <w:rFonts w:hint="default"/>
        <w:lang w:val="en-US" w:eastAsia="en-US" w:bidi="ar-SA"/>
      </w:rPr>
    </w:lvl>
  </w:abstractNum>
  <w:abstractNum w:abstractNumId="3" w15:restartNumberingAfterBreak="0">
    <w:nsid w:val="10FA062C"/>
    <w:multiLevelType w:val="multilevel"/>
    <w:tmpl w:val="099605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4E0B43"/>
    <w:multiLevelType w:val="hybridMultilevel"/>
    <w:tmpl w:val="D5E66E10"/>
    <w:lvl w:ilvl="0" w:tplc="FDD46212">
      <w:start w:val="1"/>
      <w:numFmt w:val="upperLetter"/>
      <w:lvlText w:val="%1."/>
      <w:lvlJc w:val="left"/>
      <w:pPr>
        <w:ind w:left="814" w:hanging="380"/>
      </w:pPr>
      <w:rPr>
        <w:rFonts w:hint="default"/>
        <w:b/>
      </w:rPr>
    </w:lvl>
    <w:lvl w:ilvl="1" w:tplc="04210019" w:tentative="1">
      <w:start w:val="1"/>
      <w:numFmt w:val="lowerLetter"/>
      <w:lvlText w:val="%2."/>
      <w:lvlJc w:val="left"/>
      <w:pPr>
        <w:ind w:left="1514" w:hanging="360"/>
      </w:p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tentative="1">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5" w15:restartNumberingAfterBreak="0">
    <w:nsid w:val="1C367C58"/>
    <w:multiLevelType w:val="hybridMultilevel"/>
    <w:tmpl w:val="D2D6FCD8"/>
    <w:lvl w:ilvl="0" w:tplc="935840CA">
      <w:start w:val="1"/>
      <w:numFmt w:val="upperLetter"/>
      <w:lvlText w:val="%1."/>
      <w:lvlJc w:val="left"/>
      <w:pPr>
        <w:ind w:left="794" w:hanging="360"/>
      </w:pPr>
      <w:rPr>
        <w:rFonts w:hint="default"/>
        <w:b/>
      </w:rPr>
    </w:lvl>
    <w:lvl w:ilvl="1" w:tplc="04210019" w:tentative="1">
      <w:start w:val="1"/>
      <w:numFmt w:val="lowerLetter"/>
      <w:lvlText w:val="%2."/>
      <w:lvlJc w:val="left"/>
      <w:pPr>
        <w:ind w:left="1514" w:hanging="360"/>
      </w:p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tentative="1">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6" w15:restartNumberingAfterBreak="0">
    <w:nsid w:val="21794F7E"/>
    <w:multiLevelType w:val="multilevel"/>
    <w:tmpl w:val="C102F2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1300C1"/>
    <w:multiLevelType w:val="multilevel"/>
    <w:tmpl w:val="2222B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D57F2D"/>
    <w:multiLevelType w:val="hybridMultilevel"/>
    <w:tmpl w:val="52E45C5C"/>
    <w:lvl w:ilvl="0" w:tplc="6B449344">
      <w:numFmt w:val="bullet"/>
      <w:lvlText w:val="•"/>
      <w:lvlJc w:val="left"/>
      <w:pPr>
        <w:ind w:left="480" w:hanging="480"/>
      </w:pPr>
      <w:rPr>
        <w:rFonts w:hint="default"/>
        <w:lang w:val="en-US" w:eastAsia="en-US" w:bidi="ar-S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2DC52C35"/>
    <w:multiLevelType w:val="hybridMultilevel"/>
    <w:tmpl w:val="45D2D670"/>
    <w:lvl w:ilvl="0" w:tplc="1A048130">
      <w:start w:val="1"/>
      <w:numFmt w:val="decimal"/>
      <w:lvlText w:val="%1"/>
      <w:lvlJc w:val="left"/>
      <w:pPr>
        <w:ind w:left="692" w:hanging="130"/>
      </w:pPr>
      <w:rPr>
        <w:rFonts w:ascii="Times New Roman" w:eastAsia="Times New Roman" w:hAnsi="Times New Roman" w:cs="Times New Roman" w:hint="default"/>
        <w:w w:val="94"/>
        <w:sz w:val="16"/>
        <w:szCs w:val="16"/>
        <w:lang w:val="en-US" w:eastAsia="en-US" w:bidi="ar-SA"/>
      </w:rPr>
    </w:lvl>
    <w:lvl w:ilvl="1" w:tplc="6B449344">
      <w:numFmt w:val="bullet"/>
      <w:lvlText w:val="•"/>
      <w:lvlJc w:val="left"/>
      <w:pPr>
        <w:ind w:left="1666" w:hanging="130"/>
      </w:pPr>
      <w:rPr>
        <w:rFonts w:hint="default"/>
        <w:lang w:val="en-US" w:eastAsia="en-US" w:bidi="ar-SA"/>
      </w:rPr>
    </w:lvl>
    <w:lvl w:ilvl="2" w:tplc="2CAAD116">
      <w:numFmt w:val="bullet"/>
      <w:lvlText w:val="•"/>
      <w:lvlJc w:val="left"/>
      <w:pPr>
        <w:ind w:left="2632" w:hanging="130"/>
      </w:pPr>
      <w:rPr>
        <w:rFonts w:hint="default"/>
        <w:lang w:val="en-US" w:eastAsia="en-US" w:bidi="ar-SA"/>
      </w:rPr>
    </w:lvl>
    <w:lvl w:ilvl="3" w:tplc="EB0004F0">
      <w:numFmt w:val="bullet"/>
      <w:lvlText w:val="•"/>
      <w:lvlJc w:val="left"/>
      <w:pPr>
        <w:ind w:left="3599" w:hanging="130"/>
      </w:pPr>
      <w:rPr>
        <w:rFonts w:hint="default"/>
        <w:lang w:val="en-US" w:eastAsia="en-US" w:bidi="ar-SA"/>
      </w:rPr>
    </w:lvl>
    <w:lvl w:ilvl="4" w:tplc="C2C20E50">
      <w:numFmt w:val="bullet"/>
      <w:lvlText w:val="•"/>
      <w:lvlJc w:val="left"/>
      <w:pPr>
        <w:ind w:left="4565" w:hanging="130"/>
      </w:pPr>
      <w:rPr>
        <w:rFonts w:hint="default"/>
        <w:lang w:val="en-US" w:eastAsia="en-US" w:bidi="ar-SA"/>
      </w:rPr>
    </w:lvl>
    <w:lvl w:ilvl="5" w:tplc="958223C6">
      <w:numFmt w:val="bullet"/>
      <w:lvlText w:val="•"/>
      <w:lvlJc w:val="left"/>
      <w:pPr>
        <w:ind w:left="5532" w:hanging="130"/>
      </w:pPr>
      <w:rPr>
        <w:rFonts w:hint="default"/>
        <w:lang w:val="en-US" w:eastAsia="en-US" w:bidi="ar-SA"/>
      </w:rPr>
    </w:lvl>
    <w:lvl w:ilvl="6" w:tplc="E42AAF3A">
      <w:numFmt w:val="bullet"/>
      <w:lvlText w:val="•"/>
      <w:lvlJc w:val="left"/>
      <w:pPr>
        <w:ind w:left="6498" w:hanging="130"/>
      </w:pPr>
      <w:rPr>
        <w:rFonts w:hint="default"/>
        <w:lang w:val="en-US" w:eastAsia="en-US" w:bidi="ar-SA"/>
      </w:rPr>
    </w:lvl>
    <w:lvl w:ilvl="7" w:tplc="CC322804">
      <w:numFmt w:val="bullet"/>
      <w:lvlText w:val="•"/>
      <w:lvlJc w:val="left"/>
      <w:pPr>
        <w:ind w:left="7465" w:hanging="130"/>
      </w:pPr>
      <w:rPr>
        <w:rFonts w:hint="default"/>
        <w:lang w:val="en-US" w:eastAsia="en-US" w:bidi="ar-SA"/>
      </w:rPr>
    </w:lvl>
    <w:lvl w:ilvl="8" w:tplc="7750C5EC">
      <w:numFmt w:val="bullet"/>
      <w:lvlText w:val="•"/>
      <w:lvlJc w:val="left"/>
      <w:pPr>
        <w:ind w:left="8431" w:hanging="130"/>
      </w:pPr>
      <w:rPr>
        <w:rFonts w:hint="default"/>
        <w:lang w:val="en-US" w:eastAsia="en-US" w:bidi="ar-SA"/>
      </w:rPr>
    </w:lvl>
  </w:abstractNum>
  <w:abstractNum w:abstractNumId="10" w15:restartNumberingAfterBreak="0">
    <w:nsid w:val="318B4B8F"/>
    <w:multiLevelType w:val="multilevel"/>
    <w:tmpl w:val="710AF162"/>
    <w:lvl w:ilvl="0">
      <w:start w:val="1"/>
      <w:numFmt w:val="upp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21D389E"/>
    <w:multiLevelType w:val="hybridMultilevel"/>
    <w:tmpl w:val="9162D8DE"/>
    <w:lvl w:ilvl="0" w:tplc="04210015">
      <w:start w:val="1"/>
      <w:numFmt w:val="upperLetter"/>
      <w:lvlText w:val="%1."/>
      <w:lvlJc w:val="left"/>
      <w:pPr>
        <w:ind w:left="1154" w:hanging="360"/>
      </w:pPr>
    </w:lvl>
    <w:lvl w:ilvl="1" w:tplc="04210019" w:tentative="1">
      <w:start w:val="1"/>
      <w:numFmt w:val="lowerLetter"/>
      <w:lvlText w:val="%2."/>
      <w:lvlJc w:val="left"/>
      <w:pPr>
        <w:ind w:left="1874" w:hanging="360"/>
      </w:pPr>
    </w:lvl>
    <w:lvl w:ilvl="2" w:tplc="0421001B" w:tentative="1">
      <w:start w:val="1"/>
      <w:numFmt w:val="lowerRoman"/>
      <w:lvlText w:val="%3."/>
      <w:lvlJc w:val="right"/>
      <w:pPr>
        <w:ind w:left="2594" w:hanging="180"/>
      </w:pPr>
    </w:lvl>
    <w:lvl w:ilvl="3" w:tplc="0421000F" w:tentative="1">
      <w:start w:val="1"/>
      <w:numFmt w:val="decimal"/>
      <w:lvlText w:val="%4."/>
      <w:lvlJc w:val="left"/>
      <w:pPr>
        <w:ind w:left="3314" w:hanging="360"/>
      </w:pPr>
    </w:lvl>
    <w:lvl w:ilvl="4" w:tplc="04210019" w:tentative="1">
      <w:start w:val="1"/>
      <w:numFmt w:val="lowerLetter"/>
      <w:lvlText w:val="%5."/>
      <w:lvlJc w:val="left"/>
      <w:pPr>
        <w:ind w:left="4034" w:hanging="360"/>
      </w:pPr>
    </w:lvl>
    <w:lvl w:ilvl="5" w:tplc="0421001B" w:tentative="1">
      <w:start w:val="1"/>
      <w:numFmt w:val="lowerRoman"/>
      <w:lvlText w:val="%6."/>
      <w:lvlJc w:val="right"/>
      <w:pPr>
        <w:ind w:left="4754" w:hanging="180"/>
      </w:pPr>
    </w:lvl>
    <w:lvl w:ilvl="6" w:tplc="0421000F" w:tentative="1">
      <w:start w:val="1"/>
      <w:numFmt w:val="decimal"/>
      <w:lvlText w:val="%7."/>
      <w:lvlJc w:val="left"/>
      <w:pPr>
        <w:ind w:left="5474" w:hanging="360"/>
      </w:pPr>
    </w:lvl>
    <w:lvl w:ilvl="7" w:tplc="04210019" w:tentative="1">
      <w:start w:val="1"/>
      <w:numFmt w:val="lowerLetter"/>
      <w:lvlText w:val="%8."/>
      <w:lvlJc w:val="left"/>
      <w:pPr>
        <w:ind w:left="6194" w:hanging="360"/>
      </w:pPr>
    </w:lvl>
    <w:lvl w:ilvl="8" w:tplc="0421001B" w:tentative="1">
      <w:start w:val="1"/>
      <w:numFmt w:val="lowerRoman"/>
      <w:lvlText w:val="%9."/>
      <w:lvlJc w:val="right"/>
      <w:pPr>
        <w:ind w:left="6914" w:hanging="180"/>
      </w:pPr>
    </w:lvl>
  </w:abstractNum>
  <w:abstractNum w:abstractNumId="12" w15:restartNumberingAfterBreak="0">
    <w:nsid w:val="37AA2889"/>
    <w:multiLevelType w:val="hybridMultilevel"/>
    <w:tmpl w:val="D7544C60"/>
    <w:lvl w:ilvl="0" w:tplc="708C3A7A">
      <w:start w:val="1"/>
      <w:numFmt w:val="upperLetter"/>
      <w:lvlText w:val="%1."/>
      <w:lvlJc w:val="left"/>
      <w:pPr>
        <w:ind w:left="794" w:hanging="360"/>
      </w:pPr>
      <w:rPr>
        <w:rFonts w:hint="default"/>
        <w:b/>
      </w:rPr>
    </w:lvl>
    <w:lvl w:ilvl="1" w:tplc="04210019" w:tentative="1">
      <w:start w:val="1"/>
      <w:numFmt w:val="lowerLetter"/>
      <w:lvlText w:val="%2."/>
      <w:lvlJc w:val="left"/>
      <w:pPr>
        <w:ind w:left="1514" w:hanging="360"/>
      </w:pPr>
    </w:lvl>
    <w:lvl w:ilvl="2" w:tplc="0421001B" w:tentative="1">
      <w:start w:val="1"/>
      <w:numFmt w:val="lowerRoman"/>
      <w:lvlText w:val="%3."/>
      <w:lvlJc w:val="right"/>
      <w:pPr>
        <w:ind w:left="2234" w:hanging="180"/>
      </w:pPr>
    </w:lvl>
    <w:lvl w:ilvl="3" w:tplc="0421000F" w:tentative="1">
      <w:start w:val="1"/>
      <w:numFmt w:val="decimal"/>
      <w:lvlText w:val="%4."/>
      <w:lvlJc w:val="left"/>
      <w:pPr>
        <w:ind w:left="2954" w:hanging="360"/>
      </w:pPr>
    </w:lvl>
    <w:lvl w:ilvl="4" w:tplc="04210019" w:tentative="1">
      <w:start w:val="1"/>
      <w:numFmt w:val="lowerLetter"/>
      <w:lvlText w:val="%5."/>
      <w:lvlJc w:val="left"/>
      <w:pPr>
        <w:ind w:left="3674" w:hanging="360"/>
      </w:pPr>
    </w:lvl>
    <w:lvl w:ilvl="5" w:tplc="0421001B" w:tentative="1">
      <w:start w:val="1"/>
      <w:numFmt w:val="lowerRoman"/>
      <w:lvlText w:val="%6."/>
      <w:lvlJc w:val="right"/>
      <w:pPr>
        <w:ind w:left="4394" w:hanging="180"/>
      </w:pPr>
    </w:lvl>
    <w:lvl w:ilvl="6" w:tplc="0421000F" w:tentative="1">
      <w:start w:val="1"/>
      <w:numFmt w:val="decimal"/>
      <w:lvlText w:val="%7."/>
      <w:lvlJc w:val="left"/>
      <w:pPr>
        <w:ind w:left="5114" w:hanging="360"/>
      </w:pPr>
    </w:lvl>
    <w:lvl w:ilvl="7" w:tplc="04210019" w:tentative="1">
      <w:start w:val="1"/>
      <w:numFmt w:val="lowerLetter"/>
      <w:lvlText w:val="%8."/>
      <w:lvlJc w:val="left"/>
      <w:pPr>
        <w:ind w:left="5834" w:hanging="360"/>
      </w:pPr>
    </w:lvl>
    <w:lvl w:ilvl="8" w:tplc="0421001B" w:tentative="1">
      <w:start w:val="1"/>
      <w:numFmt w:val="lowerRoman"/>
      <w:lvlText w:val="%9."/>
      <w:lvlJc w:val="right"/>
      <w:pPr>
        <w:ind w:left="6554" w:hanging="180"/>
      </w:pPr>
    </w:lvl>
  </w:abstractNum>
  <w:abstractNum w:abstractNumId="13" w15:restartNumberingAfterBreak="0">
    <w:nsid w:val="39DC6845"/>
    <w:multiLevelType w:val="multilevel"/>
    <w:tmpl w:val="F224E5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4E6622"/>
    <w:multiLevelType w:val="hybridMultilevel"/>
    <w:tmpl w:val="D61204E4"/>
    <w:lvl w:ilvl="0" w:tplc="04210015">
      <w:start w:val="1"/>
      <w:numFmt w:val="upperLetter"/>
      <w:lvlText w:val="%1."/>
      <w:lvlJc w:val="left"/>
      <w:pPr>
        <w:ind w:left="1154" w:hanging="360"/>
      </w:pPr>
    </w:lvl>
    <w:lvl w:ilvl="1" w:tplc="04210019" w:tentative="1">
      <w:start w:val="1"/>
      <w:numFmt w:val="lowerLetter"/>
      <w:lvlText w:val="%2."/>
      <w:lvlJc w:val="left"/>
      <w:pPr>
        <w:ind w:left="1874" w:hanging="360"/>
      </w:pPr>
    </w:lvl>
    <w:lvl w:ilvl="2" w:tplc="0421001B" w:tentative="1">
      <w:start w:val="1"/>
      <w:numFmt w:val="lowerRoman"/>
      <w:lvlText w:val="%3."/>
      <w:lvlJc w:val="right"/>
      <w:pPr>
        <w:ind w:left="2594" w:hanging="180"/>
      </w:pPr>
    </w:lvl>
    <w:lvl w:ilvl="3" w:tplc="0421000F" w:tentative="1">
      <w:start w:val="1"/>
      <w:numFmt w:val="decimal"/>
      <w:lvlText w:val="%4."/>
      <w:lvlJc w:val="left"/>
      <w:pPr>
        <w:ind w:left="3314" w:hanging="360"/>
      </w:pPr>
    </w:lvl>
    <w:lvl w:ilvl="4" w:tplc="04210019" w:tentative="1">
      <w:start w:val="1"/>
      <w:numFmt w:val="lowerLetter"/>
      <w:lvlText w:val="%5."/>
      <w:lvlJc w:val="left"/>
      <w:pPr>
        <w:ind w:left="4034" w:hanging="360"/>
      </w:pPr>
    </w:lvl>
    <w:lvl w:ilvl="5" w:tplc="0421001B" w:tentative="1">
      <w:start w:val="1"/>
      <w:numFmt w:val="lowerRoman"/>
      <w:lvlText w:val="%6."/>
      <w:lvlJc w:val="right"/>
      <w:pPr>
        <w:ind w:left="4754" w:hanging="180"/>
      </w:pPr>
    </w:lvl>
    <w:lvl w:ilvl="6" w:tplc="0421000F" w:tentative="1">
      <w:start w:val="1"/>
      <w:numFmt w:val="decimal"/>
      <w:lvlText w:val="%7."/>
      <w:lvlJc w:val="left"/>
      <w:pPr>
        <w:ind w:left="5474" w:hanging="360"/>
      </w:pPr>
    </w:lvl>
    <w:lvl w:ilvl="7" w:tplc="04210019" w:tentative="1">
      <w:start w:val="1"/>
      <w:numFmt w:val="lowerLetter"/>
      <w:lvlText w:val="%8."/>
      <w:lvlJc w:val="left"/>
      <w:pPr>
        <w:ind w:left="6194" w:hanging="360"/>
      </w:pPr>
    </w:lvl>
    <w:lvl w:ilvl="8" w:tplc="0421001B" w:tentative="1">
      <w:start w:val="1"/>
      <w:numFmt w:val="lowerRoman"/>
      <w:lvlText w:val="%9."/>
      <w:lvlJc w:val="right"/>
      <w:pPr>
        <w:ind w:left="6914" w:hanging="180"/>
      </w:pPr>
    </w:lvl>
  </w:abstractNum>
  <w:abstractNum w:abstractNumId="15" w15:restartNumberingAfterBreak="0">
    <w:nsid w:val="4BA37E9A"/>
    <w:multiLevelType w:val="multilevel"/>
    <w:tmpl w:val="00EE0C30"/>
    <w:lvl w:ilvl="0">
      <w:start w:val="1"/>
      <w:numFmt w:val="lowerLetter"/>
      <w:lvlText w:val="%1."/>
      <w:lvlJc w:val="left"/>
      <w:pPr>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A94236"/>
    <w:multiLevelType w:val="multilevel"/>
    <w:tmpl w:val="7D06F494"/>
    <w:lvl w:ilvl="0">
      <w:start w:val="1"/>
      <w:numFmt w:val="decimal"/>
      <w:lvlText w:val="%1."/>
      <w:lvlJc w:val="left"/>
      <w:pPr>
        <w:ind w:left="720" w:hanging="360"/>
      </w:pPr>
      <w:rPr>
        <w:rFonts w:hint="default"/>
        <w:sz w:val="20"/>
      </w:rPr>
    </w:lvl>
    <w:lvl w:ilvl="1">
      <w:start w:val="2"/>
      <w:numFmt w:val="decimal"/>
      <w:isLgl/>
      <w:lvlText w:val="%1.%2"/>
      <w:lvlJc w:val="left"/>
      <w:pPr>
        <w:ind w:left="720" w:hanging="360"/>
      </w:pPr>
      <w:rPr>
        <w:rFonts w:hint="default"/>
        <w:sz w:val="20"/>
      </w:rPr>
    </w:lvl>
    <w:lvl w:ilvl="2">
      <w:start w:val="1"/>
      <w:numFmt w:val="decimal"/>
      <w:isLgl/>
      <w:lvlText w:val="%1.%2.%3"/>
      <w:lvlJc w:val="left"/>
      <w:pPr>
        <w:ind w:left="1080" w:hanging="720"/>
      </w:pPr>
      <w:rPr>
        <w:rFonts w:hint="default"/>
        <w:sz w:val="20"/>
      </w:rPr>
    </w:lvl>
    <w:lvl w:ilvl="3">
      <w:start w:val="1"/>
      <w:numFmt w:val="decimal"/>
      <w:isLgl/>
      <w:lvlText w:val="%1.%2.%3.%4"/>
      <w:lvlJc w:val="left"/>
      <w:pPr>
        <w:ind w:left="1080" w:hanging="720"/>
      </w:pPr>
      <w:rPr>
        <w:rFonts w:hint="default"/>
        <w:sz w:val="20"/>
      </w:rPr>
    </w:lvl>
    <w:lvl w:ilvl="4">
      <w:start w:val="1"/>
      <w:numFmt w:val="decimal"/>
      <w:isLgl/>
      <w:lvlText w:val="%1.%2.%3.%4.%5"/>
      <w:lvlJc w:val="left"/>
      <w:pPr>
        <w:ind w:left="1080" w:hanging="720"/>
      </w:pPr>
      <w:rPr>
        <w:rFonts w:hint="default"/>
        <w:sz w:val="20"/>
      </w:rPr>
    </w:lvl>
    <w:lvl w:ilvl="5">
      <w:start w:val="1"/>
      <w:numFmt w:val="decimal"/>
      <w:isLgl/>
      <w:lvlText w:val="%1.%2.%3.%4.%5.%6"/>
      <w:lvlJc w:val="left"/>
      <w:pPr>
        <w:ind w:left="1440" w:hanging="1080"/>
      </w:pPr>
      <w:rPr>
        <w:rFonts w:hint="default"/>
        <w:sz w:val="20"/>
      </w:rPr>
    </w:lvl>
    <w:lvl w:ilvl="6">
      <w:start w:val="1"/>
      <w:numFmt w:val="decimal"/>
      <w:isLgl/>
      <w:lvlText w:val="%1.%2.%3.%4.%5.%6.%7"/>
      <w:lvlJc w:val="left"/>
      <w:pPr>
        <w:ind w:left="1440" w:hanging="1080"/>
      </w:pPr>
      <w:rPr>
        <w:rFonts w:hint="default"/>
        <w:sz w:val="20"/>
      </w:rPr>
    </w:lvl>
    <w:lvl w:ilvl="7">
      <w:start w:val="1"/>
      <w:numFmt w:val="decimal"/>
      <w:isLgl/>
      <w:lvlText w:val="%1.%2.%3.%4.%5.%6.%7.%8"/>
      <w:lvlJc w:val="left"/>
      <w:pPr>
        <w:ind w:left="1800" w:hanging="1440"/>
      </w:pPr>
      <w:rPr>
        <w:rFonts w:hint="default"/>
        <w:sz w:val="20"/>
      </w:rPr>
    </w:lvl>
    <w:lvl w:ilvl="8">
      <w:start w:val="1"/>
      <w:numFmt w:val="decimal"/>
      <w:isLgl/>
      <w:lvlText w:val="%1.%2.%3.%4.%5.%6.%7.%8.%9"/>
      <w:lvlJc w:val="left"/>
      <w:pPr>
        <w:ind w:left="1800" w:hanging="1440"/>
      </w:pPr>
      <w:rPr>
        <w:rFonts w:hint="default"/>
        <w:sz w:val="20"/>
      </w:rPr>
    </w:lvl>
  </w:abstractNum>
  <w:abstractNum w:abstractNumId="17" w15:restartNumberingAfterBreak="0">
    <w:nsid w:val="4E351117"/>
    <w:multiLevelType w:val="multilevel"/>
    <w:tmpl w:val="A22C0F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06A28F2"/>
    <w:multiLevelType w:val="hybridMultilevel"/>
    <w:tmpl w:val="9710D2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47C4D84"/>
    <w:multiLevelType w:val="multilevel"/>
    <w:tmpl w:val="141AA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B713A3D"/>
    <w:multiLevelType w:val="hybridMultilevel"/>
    <w:tmpl w:val="E83E144E"/>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65DE417D"/>
    <w:multiLevelType w:val="multilevel"/>
    <w:tmpl w:val="7D06F494"/>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1A81B9C"/>
    <w:multiLevelType w:val="multilevel"/>
    <w:tmpl w:val="B88C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F30614"/>
    <w:multiLevelType w:val="hybridMultilevel"/>
    <w:tmpl w:val="C7B0353A"/>
    <w:lvl w:ilvl="0" w:tplc="65A040C2">
      <w:start w:val="1"/>
      <w:numFmt w:val="decimal"/>
      <w:lvlText w:val="%1."/>
      <w:lvlJc w:val="left"/>
      <w:pPr>
        <w:ind w:left="827" w:hanging="360"/>
      </w:pPr>
      <w:rPr>
        <w:rFonts w:hint="default"/>
      </w:rPr>
    </w:lvl>
    <w:lvl w:ilvl="1" w:tplc="04090019" w:tentative="1">
      <w:start w:val="1"/>
      <w:numFmt w:val="lowerLetter"/>
      <w:lvlText w:val="%2."/>
      <w:lvlJc w:val="left"/>
      <w:pPr>
        <w:ind w:left="1547" w:hanging="360"/>
      </w:pPr>
    </w:lvl>
    <w:lvl w:ilvl="2" w:tplc="0409001B" w:tentative="1">
      <w:start w:val="1"/>
      <w:numFmt w:val="lowerRoman"/>
      <w:lvlText w:val="%3."/>
      <w:lvlJc w:val="right"/>
      <w:pPr>
        <w:ind w:left="2267" w:hanging="180"/>
      </w:pPr>
    </w:lvl>
    <w:lvl w:ilvl="3" w:tplc="0409000F" w:tentative="1">
      <w:start w:val="1"/>
      <w:numFmt w:val="decimal"/>
      <w:lvlText w:val="%4."/>
      <w:lvlJc w:val="left"/>
      <w:pPr>
        <w:ind w:left="2987" w:hanging="360"/>
      </w:pPr>
    </w:lvl>
    <w:lvl w:ilvl="4" w:tplc="04090019" w:tentative="1">
      <w:start w:val="1"/>
      <w:numFmt w:val="lowerLetter"/>
      <w:lvlText w:val="%5."/>
      <w:lvlJc w:val="left"/>
      <w:pPr>
        <w:ind w:left="3707" w:hanging="360"/>
      </w:pPr>
    </w:lvl>
    <w:lvl w:ilvl="5" w:tplc="0409001B" w:tentative="1">
      <w:start w:val="1"/>
      <w:numFmt w:val="lowerRoman"/>
      <w:lvlText w:val="%6."/>
      <w:lvlJc w:val="right"/>
      <w:pPr>
        <w:ind w:left="4427" w:hanging="180"/>
      </w:pPr>
    </w:lvl>
    <w:lvl w:ilvl="6" w:tplc="0409000F" w:tentative="1">
      <w:start w:val="1"/>
      <w:numFmt w:val="decimal"/>
      <w:lvlText w:val="%7."/>
      <w:lvlJc w:val="left"/>
      <w:pPr>
        <w:ind w:left="5147" w:hanging="360"/>
      </w:pPr>
    </w:lvl>
    <w:lvl w:ilvl="7" w:tplc="04090019" w:tentative="1">
      <w:start w:val="1"/>
      <w:numFmt w:val="lowerLetter"/>
      <w:lvlText w:val="%8."/>
      <w:lvlJc w:val="left"/>
      <w:pPr>
        <w:ind w:left="5867" w:hanging="360"/>
      </w:pPr>
    </w:lvl>
    <w:lvl w:ilvl="8" w:tplc="0409001B" w:tentative="1">
      <w:start w:val="1"/>
      <w:numFmt w:val="lowerRoman"/>
      <w:lvlText w:val="%9."/>
      <w:lvlJc w:val="right"/>
      <w:pPr>
        <w:ind w:left="6587" w:hanging="180"/>
      </w:pPr>
    </w:lvl>
  </w:abstractNum>
  <w:abstractNum w:abstractNumId="24" w15:restartNumberingAfterBreak="0">
    <w:nsid w:val="7B6073F7"/>
    <w:multiLevelType w:val="hybridMultilevel"/>
    <w:tmpl w:val="2A1E4474"/>
    <w:lvl w:ilvl="0" w:tplc="E248967A">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6035AE"/>
    <w:multiLevelType w:val="multilevel"/>
    <w:tmpl w:val="3E9E8C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E3F1BA1"/>
    <w:multiLevelType w:val="hybridMultilevel"/>
    <w:tmpl w:val="710EBD64"/>
    <w:lvl w:ilvl="0" w:tplc="04210015">
      <w:start w:val="1"/>
      <w:numFmt w:val="upperLetter"/>
      <w:lvlText w:val="%1."/>
      <w:lvlJc w:val="left"/>
      <w:pPr>
        <w:ind w:left="1154" w:hanging="360"/>
      </w:pPr>
    </w:lvl>
    <w:lvl w:ilvl="1" w:tplc="04210019" w:tentative="1">
      <w:start w:val="1"/>
      <w:numFmt w:val="lowerLetter"/>
      <w:lvlText w:val="%2."/>
      <w:lvlJc w:val="left"/>
      <w:pPr>
        <w:ind w:left="1874" w:hanging="360"/>
      </w:pPr>
    </w:lvl>
    <w:lvl w:ilvl="2" w:tplc="0421001B" w:tentative="1">
      <w:start w:val="1"/>
      <w:numFmt w:val="lowerRoman"/>
      <w:lvlText w:val="%3."/>
      <w:lvlJc w:val="right"/>
      <w:pPr>
        <w:ind w:left="2594" w:hanging="180"/>
      </w:pPr>
    </w:lvl>
    <w:lvl w:ilvl="3" w:tplc="0421000F" w:tentative="1">
      <w:start w:val="1"/>
      <w:numFmt w:val="decimal"/>
      <w:lvlText w:val="%4."/>
      <w:lvlJc w:val="left"/>
      <w:pPr>
        <w:ind w:left="3314" w:hanging="360"/>
      </w:pPr>
    </w:lvl>
    <w:lvl w:ilvl="4" w:tplc="04210019" w:tentative="1">
      <w:start w:val="1"/>
      <w:numFmt w:val="lowerLetter"/>
      <w:lvlText w:val="%5."/>
      <w:lvlJc w:val="left"/>
      <w:pPr>
        <w:ind w:left="4034" w:hanging="360"/>
      </w:pPr>
    </w:lvl>
    <w:lvl w:ilvl="5" w:tplc="0421001B" w:tentative="1">
      <w:start w:val="1"/>
      <w:numFmt w:val="lowerRoman"/>
      <w:lvlText w:val="%6."/>
      <w:lvlJc w:val="right"/>
      <w:pPr>
        <w:ind w:left="4754" w:hanging="180"/>
      </w:pPr>
    </w:lvl>
    <w:lvl w:ilvl="6" w:tplc="0421000F" w:tentative="1">
      <w:start w:val="1"/>
      <w:numFmt w:val="decimal"/>
      <w:lvlText w:val="%7."/>
      <w:lvlJc w:val="left"/>
      <w:pPr>
        <w:ind w:left="5474" w:hanging="360"/>
      </w:pPr>
    </w:lvl>
    <w:lvl w:ilvl="7" w:tplc="04210019" w:tentative="1">
      <w:start w:val="1"/>
      <w:numFmt w:val="lowerLetter"/>
      <w:lvlText w:val="%8."/>
      <w:lvlJc w:val="left"/>
      <w:pPr>
        <w:ind w:left="6194" w:hanging="360"/>
      </w:pPr>
    </w:lvl>
    <w:lvl w:ilvl="8" w:tplc="0421001B" w:tentative="1">
      <w:start w:val="1"/>
      <w:numFmt w:val="lowerRoman"/>
      <w:lvlText w:val="%9."/>
      <w:lvlJc w:val="right"/>
      <w:pPr>
        <w:ind w:left="6914" w:hanging="180"/>
      </w:pPr>
    </w:lvl>
  </w:abstractNum>
  <w:num w:numId="1" w16cid:durableId="1890800482">
    <w:abstractNumId w:val="9"/>
  </w:num>
  <w:num w:numId="2" w16cid:durableId="1471895762">
    <w:abstractNumId w:val="2"/>
  </w:num>
  <w:num w:numId="3" w16cid:durableId="1335766512">
    <w:abstractNumId w:val="23"/>
  </w:num>
  <w:num w:numId="4" w16cid:durableId="2134519578">
    <w:abstractNumId w:val="18"/>
  </w:num>
  <w:num w:numId="5" w16cid:durableId="1308785371">
    <w:abstractNumId w:val="21"/>
  </w:num>
  <w:num w:numId="6" w16cid:durableId="1575242117">
    <w:abstractNumId w:val="24"/>
  </w:num>
  <w:num w:numId="7" w16cid:durableId="2111197147">
    <w:abstractNumId w:val="20"/>
  </w:num>
  <w:num w:numId="8" w16cid:durableId="436951129">
    <w:abstractNumId w:val="8"/>
  </w:num>
  <w:num w:numId="9" w16cid:durableId="141167603">
    <w:abstractNumId w:val="6"/>
  </w:num>
  <w:num w:numId="10" w16cid:durableId="655186873">
    <w:abstractNumId w:val="15"/>
  </w:num>
  <w:num w:numId="11" w16cid:durableId="2099860906">
    <w:abstractNumId w:val="13"/>
  </w:num>
  <w:num w:numId="12" w16cid:durableId="572396713">
    <w:abstractNumId w:val="3"/>
  </w:num>
  <w:num w:numId="13" w16cid:durableId="32583804">
    <w:abstractNumId w:val="7"/>
  </w:num>
  <w:num w:numId="14" w16cid:durableId="1249460591">
    <w:abstractNumId w:val="17"/>
  </w:num>
  <w:num w:numId="15" w16cid:durableId="1406106363">
    <w:abstractNumId w:val="1"/>
  </w:num>
  <w:num w:numId="16" w16cid:durableId="952786860">
    <w:abstractNumId w:val="19"/>
  </w:num>
  <w:num w:numId="17" w16cid:durableId="803743417">
    <w:abstractNumId w:val="0"/>
  </w:num>
  <w:num w:numId="18" w16cid:durableId="1725834813">
    <w:abstractNumId w:val="10"/>
  </w:num>
  <w:num w:numId="19" w16cid:durableId="1581479541">
    <w:abstractNumId w:val="11"/>
  </w:num>
  <w:num w:numId="20" w16cid:durableId="1906866616">
    <w:abstractNumId w:val="5"/>
  </w:num>
  <w:num w:numId="21" w16cid:durableId="447118862">
    <w:abstractNumId w:val="14"/>
  </w:num>
  <w:num w:numId="22" w16cid:durableId="1797680319">
    <w:abstractNumId w:val="12"/>
  </w:num>
  <w:num w:numId="23" w16cid:durableId="1858494746">
    <w:abstractNumId w:val="26"/>
  </w:num>
  <w:num w:numId="24" w16cid:durableId="1090539378">
    <w:abstractNumId w:val="4"/>
  </w:num>
  <w:num w:numId="25" w16cid:durableId="1257253043">
    <w:abstractNumId w:val="22"/>
  </w:num>
  <w:num w:numId="26" w16cid:durableId="807473206">
    <w:abstractNumId w:val="16"/>
  </w:num>
  <w:num w:numId="27" w16cid:durableId="16946463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zQxszQxNTU2MjEwNDdS0lEKTi0uzszPAykwqgUAqQO/MCwAAAA="/>
  </w:docVars>
  <w:rsids>
    <w:rsidRoot w:val="00583D52"/>
    <w:rsid w:val="00025733"/>
    <w:rsid w:val="00041275"/>
    <w:rsid w:val="00086200"/>
    <w:rsid w:val="000E4248"/>
    <w:rsid w:val="00143DA1"/>
    <w:rsid w:val="00151863"/>
    <w:rsid w:val="001D39CB"/>
    <w:rsid w:val="001D42D1"/>
    <w:rsid w:val="001D7675"/>
    <w:rsid w:val="00205D2D"/>
    <w:rsid w:val="00252F6E"/>
    <w:rsid w:val="00291B55"/>
    <w:rsid w:val="002E7383"/>
    <w:rsid w:val="003043AC"/>
    <w:rsid w:val="00306632"/>
    <w:rsid w:val="003636AB"/>
    <w:rsid w:val="003A2277"/>
    <w:rsid w:val="003A7E81"/>
    <w:rsid w:val="003B20C0"/>
    <w:rsid w:val="00497C4D"/>
    <w:rsid w:val="004B5318"/>
    <w:rsid w:val="004D48A4"/>
    <w:rsid w:val="004D5CC1"/>
    <w:rsid w:val="004E384C"/>
    <w:rsid w:val="004F40F5"/>
    <w:rsid w:val="00502DD8"/>
    <w:rsid w:val="00566026"/>
    <w:rsid w:val="00583D52"/>
    <w:rsid w:val="00596945"/>
    <w:rsid w:val="005E080F"/>
    <w:rsid w:val="005E63EB"/>
    <w:rsid w:val="005F2348"/>
    <w:rsid w:val="00605880"/>
    <w:rsid w:val="00631F63"/>
    <w:rsid w:val="00654299"/>
    <w:rsid w:val="00677C35"/>
    <w:rsid w:val="006C4669"/>
    <w:rsid w:val="007A7854"/>
    <w:rsid w:val="007F0045"/>
    <w:rsid w:val="008858AB"/>
    <w:rsid w:val="00895B19"/>
    <w:rsid w:val="008B7297"/>
    <w:rsid w:val="008B7F4D"/>
    <w:rsid w:val="008D3EB0"/>
    <w:rsid w:val="008E3EDC"/>
    <w:rsid w:val="008F4A9A"/>
    <w:rsid w:val="00917679"/>
    <w:rsid w:val="0098615C"/>
    <w:rsid w:val="009B5A3B"/>
    <w:rsid w:val="009B7C36"/>
    <w:rsid w:val="009F1F75"/>
    <w:rsid w:val="00A31DA3"/>
    <w:rsid w:val="00A63496"/>
    <w:rsid w:val="00A70F9F"/>
    <w:rsid w:val="00A96743"/>
    <w:rsid w:val="00AD3BF3"/>
    <w:rsid w:val="00B114E6"/>
    <w:rsid w:val="00B251B1"/>
    <w:rsid w:val="00B46D4D"/>
    <w:rsid w:val="00B60716"/>
    <w:rsid w:val="00B62D7A"/>
    <w:rsid w:val="00B92B88"/>
    <w:rsid w:val="00C560A1"/>
    <w:rsid w:val="00C93758"/>
    <w:rsid w:val="00CC5E6C"/>
    <w:rsid w:val="00D817B9"/>
    <w:rsid w:val="00D81B7D"/>
    <w:rsid w:val="00D95190"/>
    <w:rsid w:val="00E24EBE"/>
    <w:rsid w:val="00E75CF7"/>
    <w:rsid w:val="00EF24E7"/>
    <w:rsid w:val="00F15A07"/>
    <w:rsid w:val="00F33B33"/>
    <w:rsid w:val="00F840F7"/>
    <w:rsid w:val="00FA23EE"/>
    <w:rsid w:val="00FB7DF6"/>
    <w:rsid w:val="00FF64A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F48BC0"/>
  <w15:chartTrackingRefBased/>
  <w15:docId w15:val="{C8FBB04C-53EF-495D-890A-CAD1A06AB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3D52"/>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9"/>
    <w:qFormat/>
    <w:rsid w:val="00583D52"/>
    <w:pPr>
      <w:spacing w:line="273" w:lineRule="exact"/>
      <w:ind w:left="109" w:hanging="361"/>
      <w:outlineLvl w:val="0"/>
    </w:pPr>
    <w:rPr>
      <w:b/>
      <w:bCs/>
      <w:sz w:val="24"/>
      <w:szCs w:val="24"/>
    </w:rPr>
  </w:style>
  <w:style w:type="paragraph" w:styleId="Heading2">
    <w:name w:val="heading 2"/>
    <w:basedOn w:val="Normal"/>
    <w:next w:val="Normal"/>
    <w:link w:val="Heading2Char"/>
    <w:uiPriority w:val="9"/>
    <w:semiHidden/>
    <w:unhideWhenUsed/>
    <w:qFormat/>
    <w:rsid w:val="00583D52"/>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83D52"/>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583D52"/>
  </w:style>
  <w:style w:type="character" w:customStyle="1" w:styleId="BodyTextChar">
    <w:name w:val="Body Text Char"/>
    <w:basedOn w:val="DefaultParagraphFont"/>
    <w:link w:val="BodyText"/>
    <w:uiPriority w:val="1"/>
    <w:rsid w:val="00583D52"/>
    <w:rPr>
      <w:rFonts w:ascii="Times New Roman" w:eastAsia="Times New Roman" w:hAnsi="Times New Roman" w:cs="Times New Roman"/>
    </w:rPr>
  </w:style>
  <w:style w:type="paragraph" w:styleId="ListParagraph">
    <w:name w:val="List Paragraph"/>
    <w:basedOn w:val="Normal"/>
    <w:uiPriority w:val="34"/>
    <w:qFormat/>
    <w:rsid w:val="00583D52"/>
    <w:pPr>
      <w:ind w:left="459" w:hanging="351"/>
      <w:jc w:val="both"/>
    </w:pPr>
  </w:style>
  <w:style w:type="paragraph" w:customStyle="1" w:styleId="TableParagraph">
    <w:name w:val="Table Paragraph"/>
    <w:basedOn w:val="Normal"/>
    <w:uiPriority w:val="1"/>
    <w:qFormat/>
    <w:rsid w:val="00583D52"/>
  </w:style>
  <w:style w:type="character" w:customStyle="1" w:styleId="Heading2Char">
    <w:name w:val="Heading 2 Char"/>
    <w:basedOn w:val="DefaultParagraphFont"/>
    <w:link w:val="Heading2"/>
    <w:uiPriority w:val="9"/>
    <w:semiHidden/>
    <w:rsid w:val="00583D52"/>
    <w:rPr>
      <w:rFonts w:asciiTheme="majorHAnsi" w:eastAsiaTheme="majorEastAsia" w:hAnsiTheme="majorHAnsi" w:cstheme="majorBidi"/>
      <w:color w:val="2F5496" w:themeColor="accent1" w:themeShade="BF"/>
      <w:sz w:val="26"/>
      <w:szCs w:val="26"/>
    </w:rPr>
  </w:style>
  <w:style w:type="paragraph" w:styleId="Header">
    <w:name w:val="header"/>
    <w:basedOn w:val="Normal"/>
    <w:link w:val="HeaderChar"/>
    <w:uiPriority w:val="99"/>
    <w:unhideWhenUsed/>
    <w:rsid w:val="00502DD8"/>
    <w:pPr>
      <w:tabs>
        <w:tab w:val="center" w:pos="4680"/>
        <w:tab w:val="right" w:pos="9360"/>
      </w:tabs>
    </w:pPr>
  </w:style>
  <w:style w:type="character" w:customStyle="1" w:styleId="HeaderChar">
    <w:name w:val="Header Char"/>
    <w:basedOn w:val="DefaultParagraphFont"/>
    <w:link w:val="Header"/>
    <w:uiPriority w:val="99"/>
    <w:rsid w:val="00502DD8"/>
    <w:rPr>
      <w:rFonts w:ascii="Times New Roman" w:eastAsia="Times New Roman" w:hAnsi="Times New Roman" w:cs="Times New Roman"/>
    </w:rPr>
  </w:style>
  <w:style w:type="paragraph" w:styleId="Footer">
    <w:name w:val="footer"/>
    <w:basedOn w:val="Normal"/>
    <w:link w:val="FooterChar"/>
    <w:uiPriority w:val="99"/>
    <w:unhideWhenUsed/>
    <w:rsid w:val="00502DD8"/>
    <w:pPr>
      <w:tabs>
        <w:tab w:val="center" w:pos="4680"/>
        <w:tab w:val="right" w:pos="9360"/>
      </w:tabs>
    </w:pPr>
  </w:style>
  <w:style w:type="character" w:customStyle="1" w:styleId="FooterChar">
    <w:name w:val="Footer Char"/>
    <w:basedOn w:val="DefaultParagraphFont"/>
    <w:link w:val="Footer"/>
    <w:uiPriority w:val="99"/>
    <w:rsid w:val="00502DD8"/>
    <w:rPr>
      <w:rFonts w:ascii="Times New Roman" w:eastAsia="Times New Roman" w:hAnsi="Times New Roman" w:cs="Times New Roman"/>
    </w:rPr>
  </w:style>
  <w:style w:type="paragraph" w:styleId="NormalWeb">
    <w:name w:val="Normal (Web)"/>
    <w:basedOn w:val="Normal"/>
    <w:uiPriority w:val="99"/>
    <w:unhideWhenUsed/>
    <w:rsid w:val="008E3EDC"/>
    <w:pPr>
      <w:widowControl/>
      <w:autoSpaceDE/>
      <w:autoSpaceDN/>
      <w:spacing w:before="100" w:beforeAutospacing="1" w:after="100" w:afterAutospacing="1"/>
    </w:pPr>
    <w:rPr>
      <w:sz w:val="24"/>
      <w:szCs w:val="24"/>
    </w:rPr>
  </w:style>
  <w:style w:type="character" w:styleId="Hyperlink">
    <w:name w:val="Hyperlink"/>
    <w:basedOn w:val="DefaultParagraphFont"/>
    <w:uiPriority w:val="99"/>
    <w:unhideWhenUsed/>
    <w:rsid w:val="001D42D1"/>
    <w:rPr>
      <w:color w:val="0563C1" w:themeColor="hyperlink"/>
      <w:u w:val="single"/>
    </w:rPr>
  </w:style>
  <w:style w:type="character" w:styleId="UnresolvedMention">
    <w:name w:val="Unresolved Mention"/>
    <w:basedOn w:val="DefaultParagraphFont"/>
    <w:uiPriority w:val="99"/>
    <w:semiHidden/>
    <w:unhideWhenUsed/>
    <w:rsid w:val="001D42D1"/>
    <w:rPr>
      <w:color w:val="605E5C"/>
      <w:shd w:val="clear" w:color="auto" w:fill="E1DFDD"/>
    </w:rPr>
  </w:style>
  <w:style w:type="table" w:styleId="PlainTable2">
    <w:name w:val="Plain Table 2"/>
    <w:basedOn w:val="TableNormal"/>
    <w:uiPriority w:val="42"/>
    <w:rsid w:val="00B251B1"/>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Strong">
    <w:name w:val="Strong"/>
    <w:basedOn w:val="DefaultParagraphFont"/>
    <w:uiPriority w:val="22"/>
    <w:qFormat/>
    <w:rsid w:val="00B251B1"/>
    <w:rPr>
      <w:b/>
      <w:bCs/>
    </w:rPr>
  </w:style>
  <w:style w:type="table" w:styleId="PlainTable3">
    <w:name w:val="Plain Table 3"/>
    <w:basedOn w:val="TableNormal"/>
    <w:uiPriority w:val="43"/>
    <w:rsid w:val="008B7F4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FollowedHyperlink">
    <w:name w:val="FollowedHyperlink"/>
    <w:basedOn w:val="DefaultParagraphFont"/>
    <w:uiPriority w:val="99"/>
    <w:semiHidden/>
    <w:unhideWhenUsed/>
    <w:rsid w:val="00A6349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95131">
      <w:bodyDiv w:val="1"/>
      <w:marLeft w:val="0"/>
      <w:marRight w:val="0"/>
      <w:marTop w:val="0"/>
      <w:marBottom w:val="0"/>
      <w:divBdr>
        <w:top w:val="none" w:sz="0" w:space="0" w:color="auto"/>
        <w:left w:val="none" w:sz="0" w:space="0" w:color="auto"/>
        <w:bottom w:val="none" w:sz="0" w:space="0" w:color="auto"/>
        <w:right w:val="none" w:sz="0" w:space="0" w:color="auto"/>
      </w:divBdr>
    </w:div>
    <w:div w:id="8651058">
      <w:bodyDiv w:val="1"/>
      <w:marLeft w:val="0"/>
      <w:marRight w:val="0"/>
      <w:marTop w:val="0"/>
      <w:marBottom w:val="0"/>
      <w:divBdr>
        <w:top w:val="none" w:sz="0" w:space="0" w:color="auto"/>
        <w:left w:val="none" w:sz="0" w:space="0" w:color="auto"/>
        <w:bottom w:val="none" w:sz="0" w:space="0" w:color="auto"/>
        <w:right w:val="none" w:sz="0" w:space="0" w:color="auto"/>
      </w:divBdr>
    </w:div>
    <w:div w:id="131795113">
      <w:bodyDiv w:val="1"/>
      <w:marLeft w:val="0"/>
      <w:marRight w:val="0"/>
      <w:marTop w:val="0"/>
      <w:marBottom w:val="0"/>
      <w:divBdr>
        <w:top w:val="none" w:sz="0" w:space="0" w:color="auto"/>
        <w:left w:val="none" w:sz="0" w:space="0" w:color="auto"/>
        <w:bottom w:val="none" w:sz="0" w:space="0" w:color="auto"/>
        <w:right w:val="none" w:sz="0" w:space="0" w:color="auto"/>
      </w:divBdr>
    </w:div>
    <w:div w:id="234902249">
      <w:bodyDiv w:val="1"/>
      <w:marLeft w:val="0"/>
      <w:marRight w:val="0"/>
      <w:marTop w:val="0"/>
      <w:marBottom w:val="0"/>
      <w:divBdr>
        <w:top w:val="none" w:sz="0" w:space="0" w:color="auto"/>
        <w:left w:val="none" w:sz="0" w:space="0" w:color="auto"/>
        <w:bottom w:val="none" w:sz="0" w:space="0" w:color="auto"/>
        <w:right w:val="none" w:sz="0" w:space="0" w:color="auto"/>
      </w:divBdr>
    </w:div>
    <w:div w:id="246380987">
      <w:bodyDiv w:val="1"/>
      <w:marLeft w:val="0"/>
      <w:marRight w:val="0"/>
      <w:marTop w:val="0"/>
      <w:marBottom w:val="0"/>
      <w:divBdr>
        <w:top w:val="none" w:sz="0" w:space="0" w:color="auto"/>
        <w:left w:val="none" w:sz="0" w:space="0" w:color="auto"/>
        <w:bottom w:val="none" w:sz="0" w:space="0" w:color="auto"/>
        <w:right w:val="none" w:sz="0" w:space="0" w:color="auto"/>
      </w:divBdr>
    </w:div>
    <w:div w:id="384909389">
      <w:bodyDiv w:val="1"/>
      <w:marLeft w:val="0"/>
      <w:marRight w:val="0"/>
      <w:marTop w:val="0"/>
      <w:marBottom w:val="0"/>
      <w:divBdr>
        <w:top w:val="none" w:sz="0" w:space="0" w:color="auto"/>
        <w:left w:val="none" w:sz="0" w:space="0" w:color="auto"/>
        <w:bottom w:val="none" w:sz="0" w:space="0" w:color="auto"/>
        <w:right w:val="none" w:sz="0" w:space="0" w:color="auto"/>
      </w:divBdr>
      <w:divsChild>
        <w:div w:id="104737501">
          <w:marLeft w:val="0"/>
          <w:marRight w:val="0"/>
          <w:marTop w:val="0"/>
          <w:marBottom w:val="0"/>
          <w:divBdr>
            <w:top w:val="none" w:sz="0" w:space="0" w:color="auto"/>
            <w:left w:val="none" w:sz="0" w:space="0" w:color="auto"/>
            <w:bottom w:val="none" w:sz="0" w:space="0" w:color="auto"/>
            <w:right w:val="none" w:sz="0" w:space="0" w:color="auto"/>
          </w:divBdr>
          <w:divsChild>
            <w:div w:id="2092701541">
              <w:marLeft w:val="0"/>
              <w:marRight w:val="0"/>
              <w:marTop w:val="0"/>
              <w:marBottom w:val="0"/>
              <w:divBdr>
                <w:top w:val="none" w:sz="0" w:space="0" w:color="auto"/>
                <w:left w:val="none" w:sz="0" w:space="0" w:color="auto"/>
                <w:bottom w:val="none" w:sz="0" w:space="0" w:color="auto"/>
                <w:right w:val="none" w:sz="0" w:space="0" w:color="auto"/>
              </w:divBdr>
            </w:div>
          </w:divsChild>
        </w:div>
        <w:div w:id="455222243">
          <w:marLeft w:val="0"/>
          <w:marRight w:val="0"/>
          <w:marTop w:val="0"/>
          <w:marBottom w:val="0"/>
          <w:divBdr>
            <w:top w:val="none" w:sz="0" w:space="0" w:color="auto"/>
            <w:left w:val="none" w:sz="0" w:space="0" w:color="auto"/>
            <w:bottom w:val="none" w:sz="0" w:space="0" w:color="auto"/>
            <w:right w:val="none" w:sz="0" w:space="0" w:color="auto"/>
          </w:divBdr>
          <w:divsChild>
            <w:div w:id="1669481464">
              <w:marLeft w:val="0"/>
              <w:marRight w:val="0"/>
              <w:marTop w:val="0"/>
              <w:marBottom w:val="0"/>
              <w:divBdr>
                <w:top w:val="none" w:sz="0" w:space="0" w:color="auto"/>
                <w:left w:val="none" w:sz="0" w:space="0" w:color="auto"/>
                <w:bottom w:val="none" w:sz="0" w:space="0" w:color="auto"/>
                <w:right w:val="none" w:sz="0" w:space="0" w:color="auto"/>
              </w:divBdr>
            </w:div>
          </w:divsChild>
        </w:div>
        <w:div w:id="199511231">
          <w:marLeft w:val="0"/>
          <w:marRight w:val="0"/>
          <w:marTop w:val="0"/>
          <w:marBottom w:val="0"/>
          <w:divBdr>
            <w:top w:val="none" w:sz="0" w:space="0" w:color="auto"/>
            <w:left w:val="none" w:sz="0" w:space="0" w:color="auto"/>
            <w:bottom w:val="none" w:sz="0" w:space="0" w:color="auto"/>
            <w:right w:val="none" w:sz="0" w:space="0" w:color="auto"/>
          </w:divBdr>
          <w:divsChild>
            <w:div w:id="1541042848">
              <w:marLeft w:val="0"/>
              <w:marRight w:val="0"/>
              <w:marTop w:val="0"/>
              <w:marBottom w:val="0"/>
              <w:divBdr>
                <w:top w:val="none" w:sz="0" w:space="0" w:color="auto"/>
                <w:left w:val="none" w:sz="0" w:space="0" w:color="auto"/>
                <w:bottom w:val="none" w:sz="0" w:space="0" w:color="auto"/>
                <w:right w:val="none" w:sz="0" w:space="0" w:color="auto"/>
              </w:divBdr>
            </w:div>
          </w:divsChild>
        </w:div>
        <w:div w:id="443961737">
          <w:marLeft w:val="0"/>
          <w:marRight w:val="0"/>
          <w:marTop w:val="0"/>
          <w:marBottom w:val="0"/>
          <w:divBdr>
            <w:top w:val="none" w:sz="0" w:space="0" w:color="auto"/>
            <w:left w:val="none" w:sz="0" w:space="0" w:color="auto"/>
            <w:bottom w:val="none" w:sz="0" w:space="0" w:color="auto"/>
            <w:right w:val="none" w:sz="0" w:space="0" w:color="auto"/>
          </w:divBdr>
          <w:divsChild>
            <w:div w:id="1221361223">
              <w:marLeft w:val="0"/>
              <w:marRight w:val="0"/>
              <w:marTop w:val="0"/>
              <w:marBottom w:val="0"/>
              <w:divBdr>
                <w:top w:val="none" w:sz="0" w:space="0" w:color="auto"/>
                <w:left w:val="none" w:sz="0" w:space="0" w:color="auto"/>
                <w:bottom w:val="none" w:sz="0" w:space="0" w:color="auto"/>
                <w:right w:val="none" w:sz="0" w:space="0" w:color="auto"/>
              </w:divBdr>
            </w:div>
          </w:divsChild>
        </w:div>
        <w:div w:id="146629455">
          <w:marLeft w:val="0"/>
          <w:marRight w:val="0"/>
          <w:marTop w:val="0"/>
          <w:marBottom w:val="0"/>
          <w:divBdr>
            <w:top w:val="none" w:sz="0" w:space="0" w:color="auto"/>
            <w:left w:val="none" w:sz="0" w:space="0" w:color="auto"/>
            <w:bottom w:val="none" w:sz="0" w:space="0" w:color="auto"/>
            <w:right w:val="none" w:sz="0" w:space="0" w:color="auto"/>
          </w:divBdr>
          <w:divsChild>
            <w:div w:id="495268487">
              <w:marLeft w:val="0"/>
              <w:marRight w:val="0"/>
              <w:marTop w:val="0"/>
              <w:marBottom w:val="0"/>
              <w:divBdr>
                <w:top w:val="none" w:sz="0" w:space="0" w:color="auto"/>
                <w:left w:val="none" w:sz="0" w:space="0" w:color="auto"/>
                <w:bottom w:val="none" w:sz="0" w:space="0" w:color="auto"/>
                <w:right w:val="none" w:sz="0" w:space="0" w:color="auto"/>
              </w:divBdr>
            </w:div>
          </w:divsChild>
        </w:div>
        <w:div w:id="2053115267">
          <w:marLeft w:val="0"/>
          <w:marRight w:val="0"/>
          <w:marTop w:val="0"/>
          <w:marBottom w:val="0"/>
          <w:divBdr>
            <w:top w:val="none" w:sz="0" w:space="0" w:color="auto"/>
            <w:left w:val="none" w:sz="0" w:space="0" w:color="auto"/>
            <w:bottom w:val="none" w:sz="0" w:space="0" w:color="auto"/>
            <w:right w:val="none" w:sz="0" w:space="0" w:color="auto"/>
          </w:divBdr>
          <w:divsChild>
            <w:div w:id="1917275902">
              <w:marLeft w:val="0"/>
              <w:marRight w:val="0"/>
              <w:marTop w:val="0"/>
              <w:marBottom w:val="0"/>
              <w:divBdr>
                <w:top w:val="none" w:sz="0" w:space="0" w:color="auto"/>
                <w:left w:val="none" w:sz="0" w:space="0" w:color="auto"/>
                <w:bottom w:val="none" w:sz="0" w:space="0" w:color="auto"/>
                <w:right w:val="none" w:sz="0" w:space="0" w:color="auto"/>
              </w:divBdr>
            </w:div>
          </w:divsChild>
        </w:div>
        <w:div w:id="470640530">
          <w:marLeft w:val="0"/>
          <w:marRight w:val="0"/>
          <w:marTop w:val="0"/>
          <w:marBottom w:val="0"/>
          <w:divBdr>
            <w:top w:val="none" w:sz="0" w:space="0" w:color="auto"/>
            <w:left w:val="none" w:sz="0" w:space="0" w:color="auto"/>
            <w:bottom w:val="none" w:sz="0" w:space="0" w:color="auto"/>
            <w:right w:val="none" w:sz="0" w:space="0" w:color="auto"/>
          </w:divBdr>
          <w:divsChild>
            <w:div w:id="1740515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300570">
      <w:bodyDiv w:val="1"/>
      <w:marLeft w:val="0"/>
      <w:marRight w:val="0"/>
      <w:marTop w:val="0"/>
      <w:marBottom w:val="0"/>
      <w:divBdr>
        <w:top w:val="none" w:sz="0" w:space="0" w:color="auto"/>
        <w:left w:val="none" w:sz="0" w:space="0" w:color="auto"/>
        <w:bottom w:val="none" w:sz="0" w:space="0" w:color="auto"/>
        <w:right w:val="none" w:sz="0" w:space="0" w:color="auto"/>
      </w:divBdr>
    </w:div>
    <w:div w:id="444151914">
      <w:bodyDiv w:val="1"/>
      <w:marLeft w:val="0"/>
      <w:marRight w:val="0"/>
      <w:marTop w:val="0"/>
      <w:marBottom w:val="0"/>
      <w:divBdr>
        <w:top w:val="none" w:sz="0" w:space="0" w:color="auto"/>
        <w:left w:val="none" w:sz="0" w:space="0" w:color="auto"/>
        <w:bottom w:val="none" w:sz="0" w:space="0" w:color="auto"/>
        <w:right w:val="none" w:sz="0" w:space="0" w:color="auto"/>
      </w:divBdr>
    </w:div>
    <w:div w:id="462312145">
      <w:bodyDiv w:val="1"/>
      <w:marLeft w:val="0"/>
      <w:marRight w:val="0"/>
      <w:marTop w:val="0"/>
      <w:marBottom w:val="0"/>
      <w:divBdr>
        <w:top w:val="none" w:sz="0" w:space="0" w:color="auto"/>
        <w:left w:val="none" w:sz="0" w:space="0" w:color="auto"/>
        <w:bottom w:val="none" w:sz="0" w:space="0" w:color="auto"/>
        <w:right w:val="none" w:sz="0" w:space="0" w:color="auto"/>
      </w:divBdr>
    </w:div>
    <w:div w:id="583029013">
      <w:bodyDiv w:val="1"/>
      <w:marLeft w:val="0"/>
      <w:marRight w:val="0"/>
      <w:marTop w:val="0"/>
      <w:marBottom w:val="0"/>
      <w:divBdr>
        <w:top w:val="none" w:sz="0" w:space="0" w:color="auto"/>
        <w:left w:val="none" w:sz="0" w:space="0" w:color="auto"/>
        <w:bottom w:val="none" w:sz="0" w:space="0" w:color="auto"/>
        <w:right w:val="none" w:sz="0" w:space="0" w:color="auto"/>
      </w:divBdr>
    </w:div>
    <w:div w:id="590704408">
      <w:bodyDiv w:val="1"/>
      <w:marLeft w:val="0"/>
      <w:marRight w:val="0"/>
      <w:marTop w:val="0"/>
      <w:marBottom w:val="0"/>
      <w:divBdr>
        <w:top w:val="none" w:sz="0" w:space="0" w:color="auto"/>
        <w:left w:val="none" w:sz="0" w:space="0" w:color="auto"/>
        <w:bottom w:val="none" w:sz="0" w:space="0" w:color="auto"/>
        <w:right w:val="none" w:sz="0" w:space="0" w:color="auto"/>
      </w:divBdr>
    </w:div>
    <w:div w:id="808716278">
      <w:bodyDiv w:val="1"/>
      <w:marLeft w:val="0"/>
      <w:marRight w:val="0"/>
      <w:marTop w:val="0"/>
      <w:marBottom w:val="0"/>
      <w:divBdr>
        <w:top w:val="none" w:sz="0" w:space="0" w:color="auto"/>
        <w:left w:val="none" w:sz="0" w:space="0" w:color="auto"/>
        <w:bottom w:val="none" w:sz="0" w:space="0" w:color="auto"/>
        <w:right w:val="none" w:sz="0" w:space="0" w:color="auto"/>
      </w:divBdr>
    </w:div>
    <w:div w:id="858548780">
      <w:bodyDiv w:val="1"/>
      <w:marLeft w:val="0"/>
      <w:marRight w:val="0"/>
      <w:marTop w:val="0"/>
      <w:marBottom w:val="0"/>
      <w:divBdr>
        <w:top w:val="none" w:sz="0" w:space="0" w:color="auto"/>
        <w:left w:val="none" w:sz="0" w:space="0" w:color="auto"/>
        <w:bottom w:val="none" w:sz="0" w:space="0" w:color="auto"/>
        <w:right w:val="none" w:sz="0" w:space="0" w:color="auto"/>
      </w:divBdr>
    </w:div>
    <w:div w:id="893198484">
      <w:bodyDiv w:val="1"/>
      <w:marLeft w:val="0"/>
      <w:marRight w:val="0"/>
      <w:marTop w:val="0"/>
      <w:marBottom w:val="0"/>
      <w:divBdr>
        <w:top w:val="none" w:sz="0" w:space="0" w:color="auto"/>
        <w:left w:val="none" w:sz="0" w:space="0" w:color="auto"/>
        <w:bottom w:val="none" w:sz="0" w:space="0" w:color="auto"/>
        <w:right w:val="none" w:sz="0" w:space="0" w:color="auto"/>
      </w:divBdr>
    </w:div>
    <w:div w:id="986278528">
      <w:bodyDiv w:val="1"/>
      <w:marLeft w:val="0"/>
      <w:marRight w:val="0"/>
      <w:marTop w:val="0"/>
      <w:marBottom w:val="0"/>
      <w:divBdr>
        <w:top w:val="none" w:sz="0" w:space="0" w:color="auto"/>
        <w:left w:val="none" w:sz="0" w:space="0" w:color="auto"/>
        <w:bottom w:val="none" w:sz="0" w:space="0" w:color="auto"/>
        <w:right w:val="none" w:sz="0" w:space="0" w:color="auto"/>
      </w:divBdr>
      <w:divsChild>
        <w:div w:id="68308000">
          <w:marLeft w:val="0"/>
          <w:marRight w:val="0"/>
          <w:marTop w:val="0"/>
          <w:marBottom w:val="0"/>
          <w:divBdr>
            <w:top w:val="none" w:sz="0" w:space="0" w:color="auto"/>
            <w:left w:val="none" w:sz="0" w:space="0" w:color="auto"/>
            <w:bottom w:val="none" w:sz="0" w:space="0" w:color="auto"/>
            <w:right w:val="none" w:sz="0" w:space="0" w:color="auto"/>
          </w:divBdr>
          <w:divsChild>
            <w:div w:id="836845639">
              <w:marLeft w:val="0"/>
              <w:marRight w:val="0"/>
              <w:marTop w:val="0"/>
              <w:marBottom w:val="0"/>
              <w:divBdr>
                <w:top w:val="none" w:sz="0" w:space="0" w:color="auto"/>
                <w:left w:val="none" w:sz="0" w:space="0" w:color="auto"/>
                <w:bottom w:val="none" w:sz="0" w:space="0" w:color="auto"/>
                <w:right w:val="none" w:sz="0" w:space="0" w:color="auto"/>
              </w:divBdr>
            </w:div>
          </w:divsChild>
        </w:div>
        <w:div w:id="538474826">
          <w:marLeft w:val="0"/>
          <w:marRight w:val="0"/>
          <w:marTop w:val="0"/>
          <w:marBottom w:val="0"/>
          <w:divBdr>
            <w:top w:val="none" w:sz="0" w:space="0" w:color="auto"/>
            <w:left w:val="none" w:sz="0" w:space="0" w:color="auto"/>
            <w:bottom w:val="none" w:sz="0" w:space="0" w:color="auto"/>
            <w:right w:val="none" w:sz="0" w:space="0" w:color="auto"/>
          </w:divBdr>
          <w:divsChild>
            <w:div w:id="290791310">
              <w:marLeft w:val="0"/>
              <w:marRight w:val="0"/>
              <w:marTop w:val="0"/>
              <w:marBottom w:val="0"/>
              <w:divBdr>
                <w:top w:val="none" w:sz="0" w:space="0" w:color="auto"/>
                <w:left w:val="none" w:sz="0" w:space="0" w:color="auto"/>
                <w:bottom w:val="none" w:sz="0" w:space="0" w:color="auto"/>
                <w:right w:val="none" w:sz="0" w:space="0" w:color="auto"/>
              </w:divBdr>
            </w:div>
          </w:divsChild>
        </w:div>
        <w:div w:id="771437019">
          <w:marLeft w:val="0"/>
          <w:marRight w:val="0"/>
          <w:marTop w:val="0"/>
          <w:marBottom w:val="0"/>
          <w:divBdr>
            <w:top w:val="none" w:sz="0" w:space="0" w:color="auto"/>
            <w:left w:val="none" w:sz="0" w:space="0" w:color="auto"/>
            <w:bottom w:val="none" w:sz="0" w:space="0" w:color="auto"/>
            <w:right w:val="none" w:sz="0" w:space="0" w:color="auto"/>
          </w:divBdr>
          <w:divsChild>
            <w:div w:id="805783618">
              <w:marLeft w:val="0"/>
              <w:marRight w:val="0"/>
              <w:marTop w:val="0"/>
              <w:marBottom w:val="0"/>
              <w:divBdr>
                <w:top w:val="none" w:sz="0" w:space="0" w:color="auto"/>
                <w:left w:val="none" w:sz="0" w:space="0" w:color="auto"/>
                <w:bottom w:val="none" w:sz="0" w:space="0" w:color="auto"/>
                <w:right w:val="none" w:sz="0" w:space="0" w:color="auto"/>
              </w:divBdr>
            </w:div>
          </w:divsChild>
        </w:div>
        <w:div w:id="1504012150">
          <w:marLeft w:val="0"/>
          <w:marRight w:val="0"/>
          <w:marTop w:val="0"/>
          <w:marBottom w:val="0"/>
          <w:divBdr>
            <w:top w:val="none" w:sz="0" w:space="0" w:color="auto"/>
            <w:left w:val="none" w:sz="0" w:space="0" w:color="auto"/>
            <w:bottom w:val="none" w:sz="0" w:space="0" w:color="auto"/>
            <w:right w:val="none" w:sz="0" w:space="0" w:color="auto"/>
          </w:divBdr>
          <w:divsChild>
            <w:div w:id="643849435">
              <w:marLeft w:val="0"/>
              <w:marRight w:val="0"/>
              <w:marTop w:val="0"/>
              <w:marBottom w:val="0"/>
              <w:divBdr>
                <w:top w:val="none" w:sz="0" w:space="0" w:color="auto"/>
                <w:left w:val="none" w:sz="0" w:space="0" w:color="auto"/>
                <w:bottom w:val="none" w:sz="0" w:space="0" w:color="auto"/>
                <w:right w:val="none" w:sz="0" w:space="0" w:color="auto"/>
              </w:divBdr>
            </w:div>
          </w:divsChild>
        </w:div>
        <w:div w:id="1174606940">
          <w:marLeft w:val="0"/>
          <w:marRight w:val="0"/>
          <w:marTop w:val="0"/>
          <w:marBottom w:val="0"/>
          <w:divBdr>
            <w:top w:val="none" w:sz="0" w:space="0" w:color="auto"/>
            <w:left w:val="none" w:sz="0" w:space="0" w:color="auto"/>
            <w:bottom w:val="none" w:sz="0" w:space="0" w:color="auto"/>
            <w:right w:val="none" w:sz="0" w:space="0" w:color="auto"/>
          </w:divBdr>
          <w:divsChild>
            <w:div w:id="1263368906">
              <w:marLeft w:val="0"/>
              <w:marRight w:val="0"/>
              <w:marTop w:val="0"/>
              <w:marBottom w:val="0"/>
              <w:divBdr>
                <w:top w:val="none" w:sz="0" w:space="0" w:color="auto"/>
                <w:left w:val="none" w:sz="0" w:space="0" w:color="auto"/>
                <w:bottom w:val="none" w:sz="0" w:space="0" w:color="auto"/>
                <w:right w:val="none" w:sz="0" w:space="0" w:color="auto"/>
              </w:divBdr>
            </w:div>
          </w:divsChild>
        </w:div>
        <w:div w:id="2022925384">
          <w:marLeft w:val="0"/>
          <w:marRight w:val="0"/>
          <w:marTop w:val="0"/>
          <w:marBottom w:val="0"/>
          <w:divBdr>
            <w:top w:val="none" w:sz="0" w:space="0" w:color="auto"/>
            <w:left w:val="none" w:sz="0" w:space="0" w:color="auto"/>
            <w:bottom w:val="none" w:sz="0" w:space="0" w:color="auto"/>
            <w:right w:val="none" w:sz="0" w:space="0" w:color="auto"/>
          </w:divBdr>
          <w:divsChild>
            <w:div w:id="331304081">
              <w:marLeft w:val="0"/>
              <w:marRight w:val="0"/>
              <w:marTop w:val="0"/>
              <w:marBottom w:val="0"/>
              <w:divBdr>
                <w:top w:val="none" w:sz="0" w:space="0" w:color="auto"/>
                <w:left w:val="none" w:sz="0" w:space="0" w:color="auto"/>
                <w:bottom w:val="none" w:sz="0" w:space="0" w:color="auto"/>
                <w:right w:val="none" w:sz="0" w:space="0" w:color="auto"/>
              </w:divBdr>
            </w:div>
          </w:divsChild>
        </w:div>
        <w:div w:id="236600523">
          <w:marLeft w:val="0"/>
          <w:marRight w:val="0"/>
          <w:marTop w:val="0"/>
          <w:marBottom w:val="0"/>
          <w:divBdr>
            <w:top w:val="none" w:sz="0" w:space="0" w:color="auto"/>
            <w:left w:val="none" w:sz="0" w:space="0" w:color="auto"/>
            <w:bottom w:val="none" w:sz="0" w:space="0" w:color="auto"/>
            <w:right w:val="none" w:sz="0" w:space="0" w:color="auto"/>
          </w:divBdr>
          <w:divsChild>
            <w:div w:id="1079592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314620">
      <w:bodyDiv w:val="1"/>
      <w:marLeft w:val="0"/>
      <w:marRight w:val="0"/>
      <w:marTop w:val="0"/>
      <w:marBottom w:val="0"/>
      <w:divBdr>
        <w:top w:val="none" w:sz="0" w:space="0" w:color="auto"/>
        <w:left w:val="none" w:sz="0" w:space="0" w:color="auto"/>
        <w:bottom w:val="none" w:sz="0" w:space="0" w:color="auto"/>
        <w:right w:val="none" w:sz="0" w:space="0" w:color="auto"/>
      </w:divBdr>
    </w:div>
    <w:div w:id="1006396280">
      <w:bodyDiv w:val="1"/>
      <w:marLeft w:val="0"/>
      <w:marRight w:val="0"/>
      <w:marTop w:val="0"/>
      <w:marBottom w:val="0"/>
      <w:divBdr>
        <w:top w:val="none" w:sz="0" w:space="0" w:color="auto"/>
        <w:left w:val="none" w:sz="0" w:space="0" w:color="auto"/>
        <w:bottom w:val="none" w:sz="0" w:space="0" w:color="auto"/>
        <w:right w:val="none" w:sz="0" w:space="0" w:color="auto"/>
      </w:divBdr>
    </w:div>
    <w:div w:id="1025254880">
      <w:bodyDiv w:val="1"/>
      <w:marLeft w:val="0"/>
      <w:marRight w:val="0"/>
      <w:marTop w:val="0"/>
      <w:marBottom w:val="0"/>
      <w:divBdr>
        <w:top w:val="none" w:sz="0" w:space="0" w:color="auto"/>
        <w:left w:val="none" w:sz="0" w:space="0" w:color="auto"/>
        <w:bottom w:val="none" w:sz="0" w:space="0" w:color="auto"/>
        <w:right w:val="none" w:sz="0" w:space="0" w:color="auto"/>
      </w:divBdr>
    </w:div>
    <w:div w:id="1033926164">
      <w:bodyDiv w:val="1"/>
      <w:marLeft w:val="0"/>
      <w:marRight w:val="0"/>
      <w:marTop w:val="0"/>
      <w:marBottom w:val="0"/>
      <w:divBdr>
        <w:top w:val="none" w:sz="0" w:space="0" w:color="auto"/>
        <w:left w:val="none" w:sz="0" w:space="0" w:color="auto"/>
        <w:bottom w:val="none" w:sz="0" w:space="0" w:color="auto"/>
        <w:right w:val="none" w:sz="0" w:space="0" w:color="auto"/>
      </w:divBdr>
    </w:div>
    <w:div w:id="1046375503">
      <w:bodyDiv w:val="1"/>
      <w:marLeft w:val="0"/>
      <w:marRight w:val="0"/>
      <w:marTop w:val="0"/>
      <w:marBottom w:val="0"/>
      <w:divBdr>
        <w:top w:val="none" w:sz="0" w:space="0" w:color="auto"/>
        <w:left w:val="none" w:sz="0" w:space="0" w:color="auto"/>
        <w:bottom w:val="none" w:sz="0" w:space="0" w:color="auto"/>
        <w:right w:val="none" w:sz="0" w:space="0" w:color="auto"/>
      </w:divBdr>
    </w:div>
    <w:div w:id="1093673190">
      <w:bodyDiv w:val="1"/>
      <w:marLeft w:val="0"/>
      <w:marRight w:val="0"/>
      <w:marTop w:val="0"/>
      <w:marBottom w:val="0"/>
      <w:divBdr>
        <w:top w:val="none" w:sz="0" w:space="0" w:color="auto"/>
        <w:left w:val="none" w:sz="0" w:space="0" w:color="auto"/>
        <w:bottom w:val="none" w:sz="0" w:space="0" w:color="auto"/>
        <w:right w:val="none" w:sz="0" w:space="0" w:color="auto"/>
      </w:divBdr>
    </w:div>
    <w:div w:id="1115366698">
      <w:bodyDiv w:val="1"/>
      <w:marLeft w:val="0"/>
      <w:marRight w:val="0"/>
      <w:marTop w:val="0"/>
      <w:marBottom w:val="0"/>
      <w:divBdr>
        <w:top w:val="none" w:sz="0" w:space="0" w:color="auto"/>
        <w:left w:val="none" w:sz="0" w:space="0" w:color="auto"/>
        <w:bottom w:val="none" w:sz="0" w:space="0" w:color="auto"/>
        <w:right w:val="none" w:sz="0" w:space="0" w:color="auto"/>
      </w:divBdr>
    </w:div>
    <w:div w:id="1199584363">
      <w:bodyDiv w:val="1"/>
      <w:marLeft w:val="0"/>
      <w:marRight w:val="0"/>
      <w:marTop w:val="0"/>
      <w:marBottom w:val="0"/>
      <w:divBdr>
        <w:top w:val="none" w:sz="0" w:space="0" w:color="auto"/>
        <w:left w:val="none" w:sz="0" w:space="0" w:color="auto"/>
        <w:bottom w:val="none" w:sz="0" w:space="0" w:color="auto"/>
        <w:right w:val="none" w:sz="0" w:space="0" w:color="auto"/>
      </w:divBdr>
    </w:div>
    <w:div w:id="1261332690">
      <w:bodyDiv w:val="1"/>
      <w:marLeft w:val="0"/>
      <w:marRight w:val="0"/>
      <w:marTop w:val="0"/>
      <w:marBottom w:val="0"/>
      <w:divBdr>
        <w:top w:val="none" w:sz="0" w:space="0" w:color="auto"/>
        <w:left w:val="none" w:sz="0" w:space="0" w:color="auto"/>
        <w:bottom w:val="none" w:sz="0" w:space="0" w:color="auto"/>
        <w:right w:val="none" w:sz="0" w:space="0" w:color="auto"/>
      </w:divBdr>
    </w:div>
    <w:div w:id="1327827697">
      <w:bodyDiv w:val="1"/>
      <w:marLeft w:val="0"/>
      <w:marRight w:val="0"/>
      <w:marTop w:val="0"/>
      <w:marBottom w:val="0"/>
      <w:divBdr>
        <w:top w:val="none" w:sz="0" w:space="0" w:color="auto"/>
        <w:left w:val="none" w:sz="0" w:space="0" w:color="auto"/>
        <w:bottom w:val="none" w:sz="0" w:space="0" w:color="auto"/>
        <w:right w:val="none" w:sz="0" w:space="0" w:color="auto"/>
      </w:divBdr>
    </w:div>
    <w:div w:id="1335187746">
      <w:bodyDiv w:val="1"/>
      <w:marLeft w:val="0"/>
      <w:marRight w:val="0"/>
      <w:marTop w:val="0"/>
      <w:marBottom w:val="0"/>
      <w:divBdr>
        <w:top w:val="none" w:sz="0" w:space="0" w:color="auto"/>
        <w:left w:val="none" w:sz="0" w:space="0" w:color="auto"/>
        <w:bottom w:val="none" w:sz="0" w:space="0" w:color="auto"/>
        <w:right w:val="none" w:sz="0" w:space="0" w:color="auto"/>
      </w:divBdr>
    </w:div>
    <w:div w:id="1373189660">
      <w:bodyDiv w:val="1"/>
      <w:marLeft w:val="0"/>
      <w:marRight w:val="0"/>
      <w:marTop w:val="0"/>
      <w:marBottom w:val="0"/>
      <w:divBdr>
        <w:top w:val="none" w:sz="0" w:space="0" w:color="auto"/>
        <w:left w:val="none" w:sz="0" w:space="0" w:color="auto"/>
        <w:bottom w:val="none" w:sz="0" w:space="0" w:color="auto"/>
        <w:right w:val="none" w:sz="0" w:space="0" w:color="auto"/>
      </w:divBdr>
    </w:div>
    <w:div w:id="1453789813">
      <w:bodyDiv w:val="1"/>
      <w:marLeft w:val="0"/>
      <w:marRight w:val="0"/>
      <w:marTop w:val="0"/>
      <w:marBottom w:val="0"/>
      <w:divBdr>
        <w:top w:val="none" w:sz="0" w:space="0" w:color="auto"/>
        <w:left w:val="none" w:sz="0" w:space="0" w:color="auto"/>
        <w:bottom w:val="none" w:sz="0" w:space="0" w:color="auto"/>
        <w:right w:val="none" w:sz="0" w:space="0" w:color="auto"/>
      </w:divBdr>
      <w:divsChild>
        <w:div w:id="366836650">
          <w:marLeft w:val="0"/>
          <w:marRight w:val="0"/>
          <w:marTop w:val="0"/>
          <w:marBottom w:val="0"/>
          <w:divBdr>
            <w:top w:val="none" w:sz="0" w:space="0" w:color="auto"/>
            <w:left w:val="none" w:sz="0" w:space="0" w:color="auto"/>
            <w:bottom w:val="none" w:sz="0" w:space="0" w:color="auto"/>
            <w:right w:val="none" w:sz="0" w:space="0" w:color="auto"/>
          </w:divBdr>
          <w:divsChild>
            <w:div w:id="1640187122">
              <w:marLeft w:val="0"/>
              <w:marRight w:val="0"/>
              <w:marTop w:val="0"/>
              <w:marBottom w:val="0"/>
              <w:divBdr>
                <w:top w:val="none" w:sz="0" w:space="0" w:color="auto"/>
                <w:left w:val="none" w:sz="0" w:space="0" w:color="auto"/>
                <w:bottom w:val="none" w:sz="0" w:space="0" w:color="auto"/>
                <w:right w:val="none" w:sz="0" w:space="0" w:color="auto"/>
              </w:divBdr>
            </w:div>
          </w:divsChild>
        </w:div>
        <w:div w:id="1648583199">
          <w:marLeft w:val="0"/>
          <w:marRight w:val="0"/>
          <w:marTop w:val="0"/>
          <w:marBottom w:val="0"/>
          <w:divBdr>
            <w:top w:val="none" w:sz="0" w:space="0" w:color="auto"/>
            <w:left w:val="none" w:sz="0" w:space="0" w:color="auto"/>
            <w:bottom w:val="none" w:sz="0" w:space="0" w:color="auto"/>
            <w:right w:val="none" w:sz="0" w:space="0" w:color="auto"/>
          </w:divBdr>
          <w:divsChild>
            <w:div w:id="1169713282">
              <w:marLeft w:val="0"/>
              <w:marRight w:val="0"/>
              <w:marTop w:val="0"/>
              <w:marBottom w:val="0"/>
              <w:divBdr>
                <w:top w:val="none" w:sz="0" w:space="0" w:color="auto"/>
                <w:left w:val="none" w:sz="0" w:space="0" w:color="auto"/>
                <w:bottom w:val="none" w:sz="0" w:space="0" w:color="auto"/>
                <w:right w:val="none" w:sz="0" w:space="0" w:color="auto"/>
              </w:divBdr>
            </w:div>
          </w:divsChild>
        </w:div>
        <w:div w:id="685064376">
          <w:marLeft w:val="0"/>
          <w:marRight w:val="0"/>
          <w:marTop w:val="0"/>
          <w:marBottom w:val="0"/>
          <w:divBdr>
            <w:top w:val="none" w:sz="0" w:space="0" w:color="auto"/>
            <w:left w:val="none" w:sz="0" w:space="0" w:color="auto"/>
            <w:bottom w:val="none" w:sz="0" w:space="0" w:color="auto"/>
            <w:right w:val="none" w:sz="0" w:space="0" w:color="auto"/>
          </w:divBdr>
          <w:divsChild>
            <w:div w:id="1939875083">
              <w:marLeft w:val="0"/>
              <w:marRight w:val="0"/>
              <w:marTop w:val="0"/>
              <w:marBottom w:val="0"/>
              <w:divBdr>
                <w:top w:val="none" w:sz="0" w:space="0" w:color="auto"/>
                <w:left w:val="none" w:sz="0" w:space="0" w:color="auto"/>
                <w:bottom w:val="none" w:sz="0" w:space="0" w:color="auto"/>
                <w:right w:val="none" w:sz="0" w:space="0" w:color="auto"/>
              </w:divBdr>
            </w:div>
          </w:divsChild>
        </w:div>
        <w:div w:id="2019386115">
          <w:marLeft w:val="0"/>
          <w:marRight w:val="0"/>
          <w:marTop w:val="0"/>
          <w:marBottom w:val="0"/>
          <w:divBdr>
            <w:top w:val="none" w:sz="0" w:space="0" w:color="auto"/>
            <w:left w:val="none" w:sz="0" w:space="0" w:color="auto"/>
            <w:bottom w:val="none" w:sz="0" w:space="0" w:color="auto"/>
            <w:right w:val="none" w:sz="0" w:space="0" w:color="auto"/>
          </w:divBdr>
          <w:divsChild>
            <w:div w:id="8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078088">
      <w:bodyDiv w:val="1"/>
      <w:marLeft w:val="0"/>
      <w:marRight w:val="0"/>
      <w:marTop w:val="0"/>
      <w:marBottom w:val="0"/>
      <w:divBdr>
        <w:top w:val="none" w:sz="0" w:space="0" w:color="auto"/>
        <w:left w:val="none" w:sz="0" w:space="0" w:color="auto"/>
        <w:bottom w:val="none" w:sz="0" w:space="0" w:color="auto"/>
        <w:right w:val="none" w:sz="0" w:space="0" w:color="auto"/>
      </w:divBdr>
    </w:div>
    <w:div w:id="1936546874">
      <w:bodyDiv w:val="1"/>
      <w:marLeft w:val="0"/>
      <w:marRight w:val="0"/>
      <w:marTop w:val="0"/>
      <w:marBottom w:val="0"/>
      <w:divBdr>
        <w:top w:val="none" w:sz="0" w:space="0" w:color="auto"/>
        <w:left w:val="none" w:sz="0" w:space="0" w:color="auto"/>
        <w:bottom w:val="none" w:sz="0" w:space="0" w:color="auto"/>
        <w:right w:val="none" w:sz="0" w:space="0" w:color="auto"/>
      </w:divBdr>
    </w:div>
    <w:div w:id="2067220768">
      <w:bodyDiv w:val="1"/>
      <w:marLeft w:val="0"/>
      <w:marRight w:val="0"/>
      <w:marTop w:val="0"/>
      <w:marBottom w:val="0"/>
      <w:divBdr>
        <w:top w:val="none" w:sz="0" w:space="0" w:color="auto"/>
        <w:left w:val="none" w:sz="0" w:space="0" w:color="auto"/>
        <w:bottom w:val="none" w:sz="0" w:space="0" w:color="auto"/>
        <w:right w:val="none" w:sz="0" w:space="0" w:color="auto"/>
      </w:divBdr>
    </w:div>
    <w:div w:id="2139252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jes-tm.org/index.php/jestm/index" TargetMode="External"/><Relationship Id="rId13" Type="http://schemas.openxmlformats.org/officeDocument/2006/relationships/hyperlink" Target="mailto:akhmad.gupron@poltekpel-sby.ac.i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ugi.nugraha@poltekpel-sby.ac.id,"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muhrifqiaditya1946@email.com,%20(Corresponding%20author),%20"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1.jpeg"/><Relationship Id="rId4" Type="http://schemas.openxmlformats.org/officeDocument/2006/relationships/settings" Target="settings.xml"/><Relationship Id="rId9" Type="http://schemas.openxmlformats.org/officeDocument/2006/relationships/hyperlink" Target="https://jes-tm.org/index.php/jestm/index" TargetMode="External"/><Relationship Id="rId14" Type="http://schemas.openxmlformats.org/officeDocument/2006/relationships/hyperlink" Target="mailto:faris.nofandi@poltekpel-sby.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EA542-D052-4E0F-9896-501941283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3489</Words>
  <Characters>19889</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蕾熙紗麗</dc:creator>
  <cp:keywords/>
  <dc:description/>
  <cp:lastModifiedBy>User</cp:lastModifiedBy>
  <cp:revision>2</cp:revision>
  <dcterms:created xsi:type="dcterms:W3CDTF">2026-07-15T15:42:00Z</dcterms:created>
  <dcterms:modified xsi:type="dcterms:W3CDTF">2026-07-15T15:42:00Z</dcterms:modified>
</cp:coreProperties>
</file>